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07F0" w14:textId="77777777" w:rsidR="009B3B3E" w:rsidRPr="0098429A" w:rsidRDefault="009B3B3E" w:rsidP="009B3B3E">
      <w:pPr>
        <w:jc w:val="center"/>
        <w:rPr>
          <w:rFonts w:ascii="Montserrat" w:hAnsi="Montserrat"/>
        </w:rPr>
      </w:pPr>
      <w:r w:rsidRPr="0098429A">
        <w:rPr>
          <w:rFonts w:ascii="Montserrat" w:hAnsi="Montserrat"/>
        </w:rPr>
        <w:t xml:space="preserve">MATRIZ DE INDICADORES </w:t>
      </w:r>
      <w:r w:rsidRPr="00E70C7D">
        <w:rPr>
          <w:rFonts w:ascii="Montserrat" w:hAnsi="Montserrat"/>
          <w:highlight w:val="cyan"/>
        </w:rPr>
        <w:t>20</w:t>
      </w:r>
      <w:r>
        <w:rPr>
          <w:rFonts w:ascii="Montserrat" w:hAnsi="Montserrat"/>
          <w:highlight w:val="cyan"/>
        </w:rPr>
        <w:t>26</w:t>
      </w:r>
    </w:p>
    <w:p w14:paraId="16895356" w14:textId="4794ABB3" w:rsidR="009B3B3E" w:rsidRPr="0098429A" w:rsidRDefault="009B3B3E" w:rsidP="009B3B3E">
      <w:pPr>
        <w:jc w:val="center"/>
        <w:rPr>
          <w:rFonts w:ascii="Montserrat" w:hAnsi="Montserrat"/>
        </w:rPr>
      </w:pPr>
      <w:r w:rsidRPr="0098429A">
        <w:rPr>
          <w:rFonts w:ascii="Montserrat" w:hAnsi="Montserrat"/>
        </w:rPr>
        <w:t>DEL PROGRAMA E0</w:t>
      </w:r>
      <w:r w:rsidR="00565421">
        <w:rPr>
          <w:rFonts w:ascii="Montserrat" w:hAnsi="Montserrat"/>
        </w:rPr>
        <w:t>31</w:t>
      </w:r>
      <w:r w:rsidRPr="0098429A">
        <w:rPr>
          <w:rFonts w:ascii="Montserrat" w:hAnsi="Montserrat"/>
        </w:rPr>
        <w:t xml:space="preserve"> “</w:t>
      </w:r>
      <w:r>
        <w:rPr>
          <w:rFonts w:ascii="Montserrat" w:hAnsi="Montserrat"/>
        </w:rPr>
        <w:t xml:space="preserve">SERVICIOS DE </w:t>
      </w:r>
      <w:r w:rsidRPr="00612BC9">
        <w:rPr>
          <w:rFonts w:ascii="Montserrat" w:hAnsi="Montserrat"/>
        </w:rPr>
        <w:t>ATENCIÓN A LA SALUD</w:t>
      </w:r>
      <w:r w:rsidRPr="0098429A">
        <w:rPr>
          <w:rFonts w:ascii="Montserrat" w:hAnsi="Montserrat"/>
        </w:rPr>
        <w:t>”</w:t>
      </w:r>
    </w:p>
    <w:p w14:paraId="2D4ED938" w14:textId="77777777" w:rsidR="000A7F43" w:rsidRPr="00AF18CF" w:rsidRDefault="009B3B3E" w:rsidP="009B3B3E">
      <w:pPr>
        <w:jc w:val="center"/>
        <w:rPr>
          <w:rFonts w:ascii="Montserrat" w:hAnsi="Montserrat"/>
          <w:sz w:val="20"/>
          <w:szCs w:val="20"/>
        </w:rPr>
      </w:pPr>
      <w:r w:rsidRPr="00612BC9">
        <w:rPr>
          <w:rFonts w:ascii="Montserrat" w:hAnsi="Montserrat"/>
        </w:rPr>
        <w:t xml:space="preserve">FICHA TÉCNICA </w:t>
      </w:r>
      <w:r>
        <w:rPr>
          <w:rFonts w:ascii="Montserrat" w:hAnsi="Montserrat"/>
        </w:rPr>
        <w:t>A</w:t>
      </w:r>
      <w:r w:rsidRPr="0081005C">
        <w:rPr>
          <w:rFonts w:ascii="Montserrat" w:hAnsi="Montserrat"/>
          <w:caps/>
        </w:rPr>
        <w:t>gosto 5 de 2025</w:t>
      </w:r>
    </w:p>
    <w:tbl>
      <w:tblPr>
        <w:tblW w:w="11908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18"/>
        <w:gridCol w:w="810"/>
        <w:gridCol w:w="106"/>
        <w:gridCol w:w="524"/>
        <w:gridCol w:w="180"/>
        <w:gridCol w:w="600"/>
        <w:gridCol w:w="236"/>
        <w:gridCol w:w="424"/>
        <w:gridCol w:w="180"/>
        <w:gridCol w:w="56"/>
        <w:gridCol w:w="239"/>
        <w:gridCol w:w="113"/>
        <w:gridCol w:w="188"/>
        <w:gridCol w:w="48"/>
        <w:gridCol w:w="256"/>
        <w:gridCol w:w="103"/>
        <w:gridCol w:w="313"/>
        <w:gridCol w:w="844"/>
        <w:gridCol w:w="374"/>
        <w:gridCol w:w="824"/>
        <w:gridCol w:w="339"/>
        <w:gridCol w:w="83"/>
        <w:gridCol w:w="498"/>
        <w:gridCol w:w="99"/>
        <w:gridCol w:w="2438"/>
      </w:tblGrid>
      <w:tr w:rsidR="00535617" w:rsidRPr="00AF18CF" w14:paraId="45F22837" w14:textId="77777777" w:rsidTr="00AF18CF">
        <w:tc>
          <w:tcPr>
            <w:tcW w:w="11908" w:type="dxa"/>
            <w:gridSpan w:val="26"/>
            <w:tcBorders>
              <w:bottom w:val="single" w:sz="4" w:space="0" w:color="auto"/>
            </w:tcBorders>
            <w:shd w:val="clear" w:color="auto" w:fill="C00000"/>
          </w:tcPr>
          <w:p w14:paraId="44EFFE0E" w14:textId="77777777" w:rsidR="00535617" w:rsidRPr="00AF18CF" w:rsidRDefault="006819BA" w:rsidP="001D528F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P</w:t>
            </w:r>
            <w:r w:rsidR="001D528F"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roporción</w:t>
            </w: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de </w:t>
            </w:r>
            <w:r w:rsidR="00BB03A9"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consultas</w:t>
            </w:r>
            <w:r w:rsidR="00312A92"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de primera vez respecto a </w:t>
            </w:r>
            <w:r w:rsidR="00AE5D6F">
              <w:rPr>
                <w:rFonts w:ascii="Montserrat" w:hAnsi="Montserrat" w:cs="Arial"/>
                <w:b/>
                <w:bCs/>
                <w:sz w:val="20"/>
                <w:szCs w:val="20"/>
              </w:rPr>
              <w:t>pre</w:t>
            </w:r>
            <w:r w:rsidR="00AF18CF"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consultas</w:t>
            </w:r>
          </w:p>
        </w:tc>
      </w:tr>
      <w:tr w:rsidR="008325CB" w:rsidRPr="00AF18CF" w14:paraId="1F86FA57" w14:textId="77777777" w:rsidTr="00AF18CF">
        <w:tc>
          <w:tcPr>
            <w:tcW w:w="11908" w:type="dxa"/>
            <w:gridSpan w:val="26"/>
            <w:tcBorders>
              <w:bottom w:val="nil"/>
            </w:tcBorders>
            <w:shd w:val="clear" w:color="auto" w:fill="538135" w:themeFill="accent6" w:themeFillShade="BF"/>
          </w:tcPr>
          <w:p w14:paraId="75FDAA9B" w14:textId="77777777" w:rsidR="008325CB" w:rsidRPr="00AF18CF" w:rsidRDefault="008325CB" w:rsidP="000A24E1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Datos de relación del indicador</w:t>
            </w:r>
          </w:p>
        </w:tc>
      </w:tr>
      <w:tr w:rsidR="006962E7" w:rsidRPr="00AF18CF" w14:paraId="6C7A08BB" w14:textId="77777777" w:rsidTr="00AF18CF">
        <w:tc>
          <w:tcPr>
            <w:tcW w:w="3653" w:type="dxa"/>
            <w:gridSpan w:val="6"/>
            <w:tcBorders>
              <w:top w:val="nil"/>
            </w:tcBorders>
          </w:tcPr>
          <w:p w14:paraId="183EA32A" w14:textId="77777777" w:rsidR="006962E7" w:rsidRPr="00AF18CF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Programa presupuestario</w:t>
            </w:r>
          </w:p>
        </w:tc>
        <w:tc>
          <w:tcPr>
            <w:tcW w:w="2340" w:type="dxa"/>
            <w:gridSpan w:val="10"/>
            <w:tcBorders>
              <w:top w:val="nil"/>
            </w:tcBorders>
          </w:tcPr>
          <w:p w14:paraId="360647A4" w14:textId="77777777" w:rsidR="006962E7" w:rsidRPr="00AF18CF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DC27EB">
              <w:rPr>
                <w:rFonts w:ascii="Montserrat" w:hAnsi="Montserrat" w:cs="Arial"/>
                <w:bCs/>
                <w:sz w:val="20"/>
                <w:szCs w:val="20"/>
              </w:rPr>
              <w:t>31</w:t>
            </w:r>
          </w:p>
        </w:tc>
        <w:tc>
          <w:tcPr>
            <w:tcW w:w="2880" w:type="dxa"/>
            <w:gridSpan w:val="7"/>
            <w:tcBorders>
              <w:top w:val="nil"/>
            </w:tcBorders>
          </w:tcPr>
          <w:p w14:paraId="29F74010" w14:textId="77777777" w:rsidR="006962E7" w:rsidRPr="00AF18CF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del programa</w:t>
            </w:r>
          </w:p>
        </w:tc>
        <w:tc>
          <w:tcPr>
            <w:tcW w:w="3035" w:type="dxa"/>
            <w:gridSpan w:val="3"/>
            <w:tcBorders>
              <w:top w:val="nil"/>
            </w:tcBorders>
          </w:tcPr>
          <w:p w14:paraId="0D61655B" w14:textId="77777777" w:rsidR="006962E7" w:rsidRPr="00AF18CF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DC27EB">
              <w:rPr>
                <w:rFonts w:ascii="Montserrat" w:hAnsi="Montserrat" w:cs="Arial"/>
                <w:bCs/>
                <w:sz w:val="20"/>
                <w:szCs w:val="20"/>
              </w:rPr>
              <w:t>31</w:t>
            </w:r>
          </w:p>
        </w:tc>
      </w:tr>
      <w:tr w:rsidR="00E87793" w:rsidRPr="00AF18CF" w14:paraId="21282C44" w14:textId="77777777" w:rsidTr="00AF18CF">
        <w:tc>
          <w:tcPr>
            <w:tcW w:w="11908" w:type="dxa"/>
            <w:gridSpan w:val="26"/>
          </w:tcPr>
          <w:p w14:paraId="20ADE260" w14:textId="77777777" w:rsidR="00E87793" w:rsidRPr="00AF18CF" w:rsidRDefault="000B4337" w:rsidP="000A24E1">
            <w:pPr>
              <w:tabs>
                <w:tab w:val="num" w:pos="540"/>
              </w:tabs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Unidad responsable del programa presupuestario</w:t>
            </w:r>
          </w:p>
          <w:p w14:paraId="49D23AD7" w14:textId="77777777" w:rsidR="00B30307" w:rsidRPr="00AF18CF" w:rsidRDefault="00D80829" w:rsidP="000A24E1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Comisión Coordinadora de Institutos Nacionales de Salud y Hospitales de Alta Especialidad</w:t>
            </w:r>
          </w:p>
        </w:tc>
      </w:tr>
      <w:tr w:rsidR="007C13B1" w:rsidRPr="00AF18CF" w14:paraId="3E97C5D6" w14:textId="77777777" w:rsidTr="00AF18CF">
        <w:tc>
          <w:tcPr>
            <w:tcW w:w="5093" w:type="dxa"/>
            <w:gridSpan w:val="10"/>
          </w:tcPr>
          <w:p w14:paraId="1D36DE3C" w14:textId="77777777" w:rsidR="007C13B1" w:rsidRPr="00AF18CF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Clasificación del programa presupuestario</w:t>
            </w:r>
          </w:p>
        </w:tc>
        <w:tc>
          <w:tcPr>
            <w:tcW w:w="6815" w:type="dxa"/>
            <w:gridSpan w:val="16"/>
          </w:tcPr>
          <w:p w14:paraId="5CF859BE" w14:textId="77777777" w:rsidR="007C13B1" w:rsidRPr="00AF18CF" w:rsidRDefault="0093624C" w:rsidP="0093624C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Prestación de Servicios Públicos</w:t>
            </w:r>
            <w:r w:rsidR="00E67FE9"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</w:tc>
      </w:tr>
      <w:tr w:rsidR="00E87793" w:rsidRPr="00AF18CF" w14:paraId="68AC7C05" w14:textId="77777777" w:rsidTr="00AF18CF">
        <w:tc>
          <w:tcPr>
            <w:tcW w:w="11908" w:type="dxa"/>
            <w:gridSpan w:val="26"/>
          </w:tcPr>
          <w:p w14:paraId="5F8D673A" w14:textId="77777777" w:rsidR="00AA05A4" w:rsidRPr="00AF18CF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Cobertura</w:t>
            </w:r>
          </w:p>
          <w:p w14:paraId="4EBDF6A8" w14:textId="77777777" w:rsidR="007C13B1" w:rsidRPr="00AF18CF" w:rsidRDefault="00C15AEC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Población que requiere servicios de salud especializados</w:t>
            </w:r>
          </w:p>
        </w:tc>
      </w:tr>
      <w:tr w:rsidR="00AA05A4" w:rsidRPr="00AF18CF" w14:paraId="23433A9D" w14:textId="77777777" w:rsidTr="00AF18CF">
        <w:tc>
          <w:tcPr>
            <w:tcW w:w="11908" w:type="dxa"/>
            <w:gridSpan w:val="26"/>
          </w:tcPr>
          <w:p w14:paraId="3C1EC8B9" w14:textId="77777777" w:rsidR="00AA05A4" w:rsidRPr="00AF18CF" w:rsidRDefault="007C13B1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Prioridades</w:t>
            </w:r>
          </w:p>
          <w:p w14:paraId="0407332F" w14:textId="77777777" w:rsidR="00FA1330" w:rsidRPr="00AF18CF" w:rsidRDefault="00FA133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23603" w:rsidRPr="00AF18CF" w14:paraId="63A0FE16" w14:textId="77777777" w:rsidTr="00AF18CF">
        <w:tc>
          <w:tcPr>
            <w:tcW w:w="11908" w:type="dxa"/>
            <w:gridSpan w:val="26"/>
            <w:tcBorders>
              <w:bottom w:val="single" w:sz="4" w:space="0" w:color="auto"/>
            </w:tcBorders>
          </w:tcPr>
          <w:p w14:paraId="652C56C6" w14:textId="77777777" w:rsidR="003F15D4" w:rsidRPr="00AF18CF" w:rsidRDefault="00541E9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Objetivo: (Fin, Propósito, Componente o Actividad): </w:t>
            </w:r>
          </w:p>
          <w:p w14:paraId="7109DD8B" w14:textId="77777777" w:rsidR="001946FF" w:rsidRPr="00AF18CF" w:rsidRDefault="001946FF" w:rsidP="001946FF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Actividad:</w:t>
            </w:r>
            <w:r w:rsidR="009F33FD"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Pr="00AF18CF">
              <w:rPr>
                <w:rFonts w:ascii="Montserrat" w:hAnsi="Montserrat" w:cs="Arial"/>
                <w:bCs/>
                <w:iCs/>
                <w:sz w:val="20"/>
                <w:szCs w:val="20"/>
              </w:rPr>
              <w:t>Valoración de usuarios</w:t>
            </w:r>
          </w:p>
          <w:p w14:paraId="228501C1" w14:textId="77777777" w:rsidR="00E23603" w:rsidRPr="00AF18CF" w:rsidRDefault="00E23603" w:rsidP="00A46E0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23603" w:rsidRPr="00AF18CF" w14:paraId="6EDFA03E" w14:textId="77777777" w:rsidTr="00AF18CF">
        <w:tc>
          <w:tcPr>
            <w:tcW w:w="11908" w:type="dxa"/>
            <w:gridSpan w:val="26"/>
            <w:shd w:val="clear" w:color="auto" w:fill="C00000"/>
          </w:tcPr>
          <w:p w14:paraId="32407BF1" w14:textId="77777777" w:rsidR="00E23603" w:rsidRPr="00AF18CF" w:rsidRDefault="00E2360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2. Datos de identificación del indicador</w:t>
            </w:r>
          </w:p>
        </w:tc>
      </w:tr>
      <w:tr w:rsidR="00647733" w:rsidRPr="00AF18CF" w14:paraId="0BD10142" w14:textId="77777777" w:rsidTr="00AF18CF">
        <w:tc>
          <w:tcPr>
            <w:tcW w:w="5388" w:type="dxa"/>
            <w:gridSpan w:val="12"/>
          </w:tcPr>
          <w:p w14:paraId="1413669C" w14:textId="77777777" w:rsidR="00647733" w:rsidRPr="00AF18CF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Nombre del indicador:</w:t>
            </w:r>
          </w:p>
        </w:tc>
        <w:tc>
          <w:tcPr>
            <w:tcW w:w="301" w:type="dxa"/>
            <w:gridSpan w:val="2"/>
            <w:vMerge w:val="restart"/>
          </w:tcPr>
          <w:p w14:paraId="47541A5B" w14:textId="77777777" w:rsidR="00647733" w:rsidRPr="00AF18CF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gridSpan w:val="7"/>
          </w:tcPr>
          <w:p w14:paraId="0083EAEE" w14:textId="77777777" w:rsidR="00647733" w:rsidRPr="00AF18CF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 del indicador</w:t>
            </w:r>
          </w:p>
        </w:tc>
        <w:tc>
          <w:tcPr>
            <w:tcW w:w="3457" w:type="dxa"/>
            <w:gridSpan w:val="5"/>
          </w:tcPr>
          <w:p w14:paraId="5FD86614" w14:textId="2571FB96" w:rsidR="00647733" w:rsidRPr="00AF18CF" w:rsidRDefault="00B94105" w:rsidP="00B9410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  <w:r w:rsidR="00861A51">
              <w:rPr>
                <w:rFonts w:ascii="Montserrat" w:hAnsi="Montserrat" w:cs="Arial"/>
                <w:bCs/>
                <w:sz w:val="20"/>
                <w:szCs w:val="20"/>
              </w:rPr>
              <w:t>.1.1.1.1</w:t>
            </w:r>
          </w:p>
        </w:tc>
      </w:tr>
      <w:tr w:rsidR="00647733" w:rsidRPr="00AF18CF" w14:paraId="1ED06865" w14:textId="77777777" w:rsidTr="00AF18CF">
        <w:tc>
          <w:tcPr>
            <w:tcW w:w="5388" w:type="dxa"/>
            <w:gridSpan w:val="12"/>
          </w:tcPr>
          <w:p w14:paraId="6C2A06CF" w14:textId="77777777" w:rsidR="0087133B" w:rsidRPr="00AF18CF" w:rsidRDefault="0087133B" w:rsidP="00B74A5D">
            <w:pPr>
              <w:tabs>
                <w:tab w:val="num" w:pos="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23541821" w14:textId="77777777" w:rsidR="00312A92" w:rsidRPr="00AF18CF" w:rsidRDefault="00312A92" w:rsidP="004D6969">
            <w:pPr>
              <w:tabs>
                <w:tab w:val="num" w:pos="0"/>
              </w:tabs>
              <w:ind w:right="-468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AF18CF">
              <w:rPr>
                <w:rFonts w:ascii="Montserrat" w:hAnsi="Montserrat" w:cs="Arial"/>
                <w:bCs/>
                <w:sz w:val="18"/>
                <w:szCs w:val="18"/>
              </w:rPr>
              <w:t>P</w:t>
            </w:r>
            <w:r w:rsidR="001D528F" w:rsidRPr="00AF18CF">
              <w:rPr>
                <w:rFonts w:ascii="Montserrat" w:hAnsi="Montserrat" w:cs="Arial"/>
                <w:bCs/>
                <w:sz w:val="18"/>
                <w:szCs w:val="18"/>
              </w:rPr>
              <w:t>roporción</w:t>
            </w:r>
            <w:r w:rsidRPr="00AF18CF">
              <w:rPr>
                <w:rFonts w:ascii="Montserrat" w:hAnsi="Montserrat" w:cs="Arial"/>
                <w:bCs/>
                <w:sz w:val="18"/>
                <w:szCs w:val="18"/>
              </w:rPr>
              <w:t xml:space="preserve"> de consultas de primera vez respecto a </w:t>
            </w:r>
            <w:r w:rsidR="008E5155">
              <w:rPr>
                <w:rFonts w:ascii="Montserrat" w:hAnsi="Montserrat" w:cs="Arial"/>
                <w:bCs/>
                <w:sz w:val="18"/>
                <w:szCs w:val="18"/>
              </w:rPr>
              <w:t>pre</w:t>
            </w:r>
            <w:r w:rsidR="00AF18CF" w:rsidRPr="00AF18CF">
              <w:rPr>
                <w:rFonts w:ascii="Montserrat" w:hAnsi="Montserrat" w:cs="Arial"/>
                <w:bCs/>
                <w:sz w:val="18"/>
                <w:szCs w:val="18"/>
              </w:rPr>
              <w:t>consultas</w:t>
            </w:r>
          </w:p>
          <w:p w14:paraId="6C2E773D" w14:textId="77777777" w:rsidR="0087133B" w:rsidRPr="00AF18CF" w:rsidRDefault="007576DA" w:rsidP="004D6969">
            <w:pPr>
              <w:tabs>
                <w:tab w:val="num" w:pos="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1" w:type="dxa"/>
            <w:gridSpan w:val="2"/>
            <w:vMerge/>
          </w:tcPr>
          <w:p w14:paraId="4DA1436A" w14:textId="77777777" w:rsidR="00647733" w:rsidRPr="00AF18CF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2"/>
          </w:tcPr>
          <w:p w14:paraId="3EA414D9" w14:textId="77777777" w:rsidR="00647733" w:rsidRPr="00AF18CF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37C08C6B" w14:textId="77777777" w:rsidR="00647733" w:rsidRPr="00AF18CF" w:rsidRDefault="006550D1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No. de indicador </w:t>
            </w:r>
            <w:r w:rsidR="00B94105" w:rsidRPr="00AF18CF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  <w:r w:rsidR="00E56C29">
              <w:rPr>
                <w:rFonts w:ascii="Montserrat" w:hAnsi="Montserrat" w:cs="Arial"/>
                <w:bCs/>
                <w:sz w:val="20"/>
                <w:szCs w:val="20"/>
              </w:rPr>
              <w:t>2</w:t>
            </w:r>
          </w:p>
          <w:p w14:paraId="70D7B890" w14:textId="77777777" w:rsidR="006550D1" w:rsidRPr="00AF18CF" w:rsidRDefault="006550D1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507DF3" w:rsidRPr="00AF18CF" w14:paraId="3578F9A4" w14:textId="77777777" w:rsidTr="00AF18CF">
        <w:tc>
          <w:tcPr>
            <w:tcW w:w="5388" w:type="dxa"/>
            <w:gridSpan w:val="12"/>
          </w:tcPr>
          <w:p w14:paraId="3C41BCBD" w14:textId="77777777" w:rsidR="00507DF3" w:rsidRPr="00AF18CF" w:rsidRDefault="00507DF3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Dimensión a medir:</w:t>
            </w:r>
          </w:p>
          <w:p w14:paraId="40F27487" w14:textId="77777777" w:rsidR="0087133B" w:rsidRPr="00AF18CF" w:rsidRDefault="0087133B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306D3F07" w14:textId="77777777" w:rsidR="00507DF3" w:rsidRPr="00AF18CF" w:rsidRDefault="007576DA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Efic</w:t>
            </w:r>
            <w:r w:rsidR="00B65107" w:rsidRPr="00AF18CF">
              <w:rPr>
                <w:rFonts w:ascii="Montserrat" w:hAnsi="Montserrat" w:cs="Arial"/>
                <w:bCs/>
                <w:sz w:val="20"/>
                <w:szCs w:val="20"/>
              </w:rPr>
              <w:t>iencia</w:t>
            </w:r>
          </w:p>
          <w:p w14:paraId="6A17BD2B" w14:textId="77777777" w:rsidR="00507DF3" w:rsidRPr="00AF18CF" w:rsidRDefault="00507DF3" w:rsidP="00FF5AE4">
            <w:pPr>
              <w:tabs>
                <w:tab w:val="num" w:pos="540"/>
              </w:tabs>
              <w:ind w:right="-468" w:firstLine="70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vMerge/>
          </w:tcPr>
          <w:p w14:paraId="2BC0FB5B" w14:textId="77777777" w:rsidR="00507DF3" w:rsidRPr="00AF18CF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2"/>
          </w:tcPr>
          <w:p w14:paraId="257798A5" w14:textId="77777777" w:rsidR="00C61807" w:rsidRPr="00AF18CF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Definición:</w:t>
            </w:r>
          </w:p>
          <w:p w14:paraId="7827A976" w14:textId="77777777" w:rsidR="0087133B" w:rsidRPr="00AF18CF" w:rsidRDefault="0087133B" w:rsidP="00272E74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49D0490" w14:textId="77777777" w:rsidR="00B46C45" w:rsidRPr="00AF18CF" w:rsidRDefault="00B46C45" w:rsidP="0002565E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sz w:val="20"/>
                <w:szCs w:val="20"/>
              </w:rPr>
              <w:t xml:space="preserve">Muestra la </w:t>
            </w:r>
            <w:r w:rsidR="00D01675">
              <w:rPr>
                <w:rFonts w:ascii="Montserrat" w:hAnsi="Montserrat" w:cs="Arial"/>
                <w:sz w:val="20"/>
                <w:szCs w:val="20"/>
              </w:rPr>
              <w:t xml:space="preserve">correspondencia de consultas </w:t>
            </w:r>
            <w:r w:rsidRPr="00AF18CF">
              <w:rPr>
                <w:rFonts w:ascii="Montserrat" w:hAnsi="Montserrat" w:cs="Arial"/>
                <w:sz w:val="20"/>
                <w:szCs w:val="20"/>
              </w:rPr>
              <w:t xml:space="preserve">de </w:t>
            </w:r>
            <w:r w:rsidR="00D01675">
              <w:rPr>
                <w:rFonts w:ascii="Montserrat" w:hAnsi="Montserrat" w:cs="Arial"/>
                <w:sz w:val="20"/>
                <w:szCs w:val="20"/>
              </w:rPr>
              <w:t>u</w:t>
            </w:r>
            <w:r w:rsidRPr="00AF18CF">
              <w:rPr>
                <w:rFonts w:ascii="Montserrat" w:hAnsi="Montserrat" w:cs="Arial"/>
                <w:sz w:val="20"/>
                <w:szCs w:val="20"/>
              </w:rPr>
              <w:t>suarios valorados</w:t>
            </w:r>
            <w:r w:rsidR="006D7218">
              <w:rPr>
                <w:rFonts w:ascii="Montserrat" w:hAnsi="Montserrat" w:cs="Arial"/>
                <w:sz w:val="20"/>
                <w:szCs w:val="20"/>
              </w:rPr>
              <w:t xml:space="preserve"> de primera vez, con</w:t>
            </w:r>
            <w:r w:rsidR="00D01675">
              <w:rPr>
                <w:rFonts w:ascii="Montserrat" w:hAnsi="Montserrat" w:cs="Arial"/>
                <w:sz w:val="20"/>
                <w:szCs w:val="20"/>
              </w:rPr>
              <w:t xml:space="preserve"> relación </w:t>
            </w:r>
            <w:r w:rsidR="006D7218">
              <w:rPr>
                <w:rFonts w:ascii="Montserrat" w:hAnsi="Montserrat" w:cs="Arial"/>
                <w:sz w:val="20"/>
                <w:szCs w:val="20"/>
              </w:rPr>
              <w:t>a</w:t>
            </w:r>
            <w:r w:rsidR="00D01675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Pr="00AF18CF">
              <w:rPr>
                <w:rFonts w:ascii="Montserrat" w:hAnsi="Montserrat" w:cs="Arial"/>
                <w:sz w:val="20"/>
                <w:szCs w:val="20"/>
              </w:rPr>
              <w:t>los que se les abre expediente para su atención</w:t>
            </w:r>
          </w:p>
          <w:p w14:paraId="36C4C2FB" w14:textId="77777777" w:rsidR="0002565E" w:rsidRPr="00AF18CF" w:rsidRDefault="0002565E" w:rsidP="00462B57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07DF3" w:rsidRPr="00AF18CF" w14:paraId="59C952E8" w14:textId="77777777" w:rsidTr="00AF18CF">
        <w:tc>
          <w:tcPr>
            <w:tcW w:w="5388" w:type="dxa"/>
            <w:gridSpan w:val="12"/>
            <w:tcBorders>
              <w:bottom w:val="single" w:sz="4" w:space="0" w:color="auto"/>
            </w:tcBorders>
          </w:tcPr>
          <w:p w14:paraId="7D0DD5FA" w14:textId="77777777" w:rsidR="00507DF3" w:rsidRPr="00AF18CF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Método de cálculo:</w:t>
            </w:r>
          </w:p>
          <w:p w14:paraId="16D6CA04" w14:textId="77777777" w:rsidR="00653F03" w:rsidRPr="00AF18CF" w:rsidRDefault="00653F03" w:rsidP="0048080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4910A809" w14:textId="77777777" w:rsidR="00A236D2" w:rsidRPr="00AF18CF" w:rsidRDefault="00A236D2" w:rsidP="00964615">
            <w:pPr>
              <w:ind w:left="83"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N</w:t>
            </w:r>
            <w:r w:rsidR="001E2C5C" w:rsidRPr="00AF18CF">
              <w:rPr>
                <w:rFonts w:ascii="Montserrat" w:hAnsi="Montserrat" w:cs="Arial"/>
                <w:bCs/>
                <w:sz w:val="20"/>
                <w:szCs w:val="20"/>
              </w:rPr>
              <w:t>úmero</w:t>
            </w: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de consultas de primera vez otorgadas  </w:t>
            </w:r>
          </w:p>
          <w:p w14:paraId="1F0B3E08" w14:textId="77777777" w:rsidR="00A236D2" w:rsidRPr="00AF18CF" w:rsidRDefault="00A236D2" w:rsidP="00964615">
            <w:pPr>
              <w:ind w:left="83"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en el periodo</w:t>
            </w:r>
            <w:r w:rsidR="006E5722"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/ </w:t>
            </w:r>
            <w:r w:rsidR="006A4D6B"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Número </w:t>
            </w: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de </w:t>
            </w:r>
            <w:r w:rsidR="00AF18CF" w:rsidRPr="00AF18CF">
              <w:rPr>
                <w:rFonts w:ascii="Montserrat" w:hAnsi="Montserrat" w:cs="Arial"/>
                <w:bCs/>
                <w:sz w:val="20"/>
                <w:szCs w:val="20"/>
              </w:rPr>
              <w:t>preconsultas</w:t>
            </w: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otorgadas </w:t>
            </w:r>
          </w:p>
          <w:p w14:paraId="0D578DCE" w14:textId="77777777" w:rsidR="00653F03" w:rsidRPr="00AF18CF" w:rsidRDefault="00A236D2" w:rsidP="00964615">
            <w:pPr>
              <w:ind w:left="83"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en el periodo x 100</w:t>
            </w:r>
          </w:p>
          <w:p w14:paraId="72E7C397" w14:textId="77777777" w:rsidR="0002565E" w:rsidRPr="00AF18CF" w:rsidRDefault="0002565E" w:rsidP="00964615">
            <w:pPr>
              <w:ind w:left="83" w:right="-468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vMerge/>
          </w:tcPr>
          <w:p w14:paraId="40477B0E" w14:textId="77777777" w:rsidR="00507DF3" w:rsidRPr="00AF18CF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2"/>
            <w:tcBorders>
              <w:bottom w:val="single" w:sz="4" w:space="0" w:color="auto"/>
            </w:tcBorders>
          </w:tcPr>
          <w:p w14:paraId="1148A407" w14:textId="77777777" w:rsidR="00814814" w:rsidRPr="00AF18CF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medida:</w:t>
            </w:r>
          </w:p>
          <w:p w14:paraId="2AC94F26" w14:textId="77777777" w:rsidR="00507DF3" w:rsidRPr="00AF18CF" w:rsidRDefault="00507DF3" w:rsidP="00D901A0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07EE3DE6" w14:textId="77777777" w:rsidR="001B3846" w:rsidRPr="00AF18CF" w:rsidRDefault="002B466F" w:rsidP="00AD2E4A">
            <w:pPr>
              <w:rPr>
                <w:rFonts w:ascii="Montserrat" w:hAnsi="Montserrat" w:cs="Arial"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sz w:val="20"/>
                <w:szCs w:val="20"/>
              </w:rPr>
              <w:t>Porcentaje</w:t>
            </w:r>
          </w:p>
        </w:tc>
      </w:tr>
      <w:tr w:rsidR="00647733" w:rsidRPr="00AF18CF" w14:paraId="501482B2" w14:textId="77777777" w:rsidTr="00AF18CF">
        <w:tc>
          <w:tcPr>
            <w:tcW w:w="5388" w:type="dxa"/>
            <w:gridSpan w:val="12"/>
            <w:tcBorders>
              <w:bottom w:val="single" w:sz="4" w:space="0" w:color="auto"/>
            </w:tcBorders>
          </w:tcPr>
          <w:p w14:paraId="1B7E6A85" w14:textId="77777777" w:rsidR="00647733" w:rsidRPr="00AF18CF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vMerge/>
          </w:tcPr>
          <w:p w14:paraId="5BC93ACB" w14:textId="77777777" w:rsidR="00647733" w:rsidRPr="00AF18CF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2"/>
            <w:tcBorders>
              <w:bottom w:val="single" w:sz="4" w:space="0" w:color="auto"/>
            </w:tcBorders>
          </w:tcPr>
          <w:p w14:paraId="51E16CB7" w14:textId="77777777" w:rsidR="00647733" w:rsidRPr="00AF18CF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647733" w:rsidRPr="00AF18CF" w14:paraId="05E5E67E" w14:textId="77777777" w:rsidTr="00AF18CF">
        <w:tc>
          <w:tcPr>
            <w:tcW w:w="5388" w:type="dxa"/>
            <w:gridSpan w:val="12"/>
            <w:tcBorders>
              <w:bottom w:val="single" w:sz="4" w:space="0" w:color="auto"/>
            </w:tcBorders>
          </w:tcPr>
          <w:p w14:paraId="3DE6B4D1" w14:textId="77777777" w:rsidR="00647733" w:rsidRPr="00AF18CF" w:rsidRDefault="00256A6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Desagregación geográfica:</w:t>
            </w:r>
            <w:r w:rsidR="00DC1BFA"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814814" w:rsidRPr="00AF18CF">
              <w:rPr>
                <w:rFonts w:ascii="Montserrat" w:hAnsi="Montserrat" w:cs="Arial"/>
                <w:bCs/>
                <w:sz w:val="20"/>
                <w:szCs w:val="20"/>
              </w:rPr>
              <w:t>Nacional</w:t>
            </w:r>
          </w:p>
        </w:tc>
        <w:tc>
          <w:tcPr>
            <w:tcW w:w="301" w:type="dxa"/>
            <w:gridSpan w:val="2"/>
            <w:vMerge/>
            <w:tcBorders>
              <w:bottom w:val="single" w:sz="4" w:space="0" w:color="auto"/>
            </w:tcBorders>
          </w:tcPr>
          <w:p w14:paraId="56B37AB5" w14:textId="77777777" w:rsidR="00647733" w:rsidRPr="00AF18CF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2"/>
            <w:tcBorders>
              <w:bottom w:val="single" w:sz="4" w:space="0" w:color="auto"/>
            </w:tcBorders>
          </w:tcPr>
          <w:p w14:paraId="3E776837" w14:textId="77777777" w:rsidR="00647733" w:rsidRPr="00AF18CF" w:rsidRDefault="00256A6C" w:rsidP="0017781A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 de medición:</w:t>
            </w:r>
            <w:r w:rsidR="00814814"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032B4A" w:rsidRPr="00AF18CF">
              <w:rPr>
                <w:rFonts w:ascii="Montserrat" w:hAnsi="Montserrat" w:cs="Arial"/>
                <w:bCs/>
                <w:sz w:val="20"/>
                <w:szCs w:val="20"/>
              </w:rPr>
              <w:t>Trimestral</w:t>
            </w:r>
          </w:p>
        </w:tc>
      </w:tr>
      <w:tr w:rsidR="004C04C3" w:rsidRPr="00AF18CF" w14:paraId="1BB82307" w14:textId="77777777" w:rsidTr="00AF18CF">
        <w:tc>
          <w:tcPr>
            <w:tcW w:w="11908" w:type="dxa"/>
            <w:gridSpan w:val="26"/>
            <w:shd w:val="clear" w:color="auto" w:fill="C00000"/>
          </w:tcPr>
          <w:p w14:paraId="5FC82173" w14:textId="77777777" w:rsidR="004C04C3" w:rsidRPr="00AF18CF" w:rsidRDefault="004C04C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3. Características de</w:t>
            </w:r>
            <w:r w:rsidR="004D57B0"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l indicador</w:t>
            </w: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3138B" w:rsidRPr="00AF18CF" w14:paraId="11CF85AC" w14:textId="77777777" w:rsidTr="00AF18CF">
        <w:tc>
          <w:tcPr>
            <w:tcW w:w="2033" w:type="dxa"/>
            <w:gridSpan w:val="2"/>
          </w:tcPr>
          <w:p w14:paraId="02248CC1" w14:textId="77777777" w:rsidR="0053138B" w:rsidRPr="00AF18CF" w:rsidRDefault="009E6B0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</w:t>
            </w:r>
            <w:r w:rsidR="00173BAC"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Claridad</w:t>
            </w:r>
          </w:p>
        </w:tc>
        <w:tc>
          <w:tcPr>
            <w:tcW w:w="1440" w:type="dxa"/>
            <w:gridSpan w:val="3"/>
          </w:tcPr>
          <w:p w14:paraId="4F3866FC" w14:textId="77777777" w:rsidR="0053138B" w:rsidRPr="00AF18CF" w:rsidRDefault="009E6B0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</w:t>
            </w:r>
            <w:r w:rsidR="00173BAC"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Relevancia</w:t>
            </w:r>
          </w:p>
        </w:tc>
        <w:tc>
          <w:tcPr>
            <w:tcW w:w="1440" w:type="dxa"/>
            <w:gridSpan w:val="4"/>
          </w:tcPr>
          <w:p w14:paraId="41D3A518" w14:textId="77777777" w:rsidR="0053138B" w:rsidRPr="00AF18CF" w:rsidRDefault="009E6B0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</w:t>
            </w:r>
            <w:r w:rsidR="00173BAC"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Economía</w:t>
            </w:r>
          </w:p>
        </w:tc>
        <w:tc>
          <w:tcPr>
            <w:tcW w:w="236" w:type="dxa"/>
            <w:gridSpan w:val="2"/>
            <w:vMerge w:val="restart"/>
          </w:tcPr>
          <w:p w14:paraId="6F716880" w14:textId="77777777" w:rsidR="0053138B" w:rsidRPr="00AF18CF" w:rsidRDefault="0053138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8"/>
          </w:tcPr>
          <w:p w14:paraId="6CC2EE15" w14:textId="77777777" w:rsidR="0053138B" w:rsidRPr="00AF18CF" w:rsidRDefault="009E6B06" w:rsidP="00D0167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</w:t>
            </w:r>
            <w:r w:rsidR="00173BAC"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Monitoreables</w:t>
            </w:r>
          </w:p>
        </w:tc>
        <w:tc>
          <w:tcPr>
            <w:tcW w:w="2118" w:type="dxa"/>
            <w:gridSpan w:val="5"/>
          </w:tcPr>
          <w:p w14:paraId="0D3497F0" w14:textId="77777777" w:rsidR="0053138B" w:rsidRPr="00AF18CF" w:rsidRDefault="009E6B06" w:rsidP="00D0167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</w:t>
            </w:r>
            <w:r w:rsidR="00173BAC"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Adecuado</w:t>
            </w:r>
          </w:p>
        </w:tc>
        <w:tc>
          <w:tcPr>
            <w:tcW w:w="2537" w:type="dxa"/>
            <w:gridSpan w:val="2"/>
          </w:tcPr>
          <w:p w14:paraId="35B592DA" w14:textId="77777777" w:rsidR="0053138B" w:rsidRPr="00AF18CF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Aporte Marginal</w:t>
            </w:r>
          </w:p>
        </w:tc>
      </w:tr>
      <w:tr w:rsidR="0053138B" w:rsidRPr="00AF18CF" w14:paraId="2E081C6F" w14:textId="77777777" w:rsidTr="00AF18CF">
        <w:tc>
          <w:tcPr>
            <w:tcW w:w="2033" w:type="dxa"/>
            <w:gridSpan w:val="2"/>
            <w:vAlign w:val="center"/>
          </w:tcPr>
          <w:p w14:paraId="6147CE1B" w14:textId="77777777" w:rsidR="0053138B" w:rsidRPr="00AF18CF" w:rsidRDefault="009E6B06" w:rsidP="000E3BA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        </w:t>
            </w:r>
            <w:r w:rsidR="000E3BA8" w:rsidRPr="00AF18CF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3"/>
            <w:vAlign w:val="center"/>
          </w:tcPr>
          <w:p w14:paraId="1ABACB9C" w14:textId="77777777" w:rsidR="0053138B" w:rsidRPr="00AF18CF" w:rsidRDefault="009E6B06" w:rsidP="000E3BA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        </w:t>
            </w:r>
            <w:r w:rsidR="000E3BA8" w:rsidRPr="00AF18CF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4"/>
            <w:vAlign w:val="center"/>
          </w:tcPr>
          <w:p w14:paraId="0B21E56F" w14:textId="77777777" w:rsidR="0053138B" w:rsidRPr="00AF18CF" w:rsidRDefault="009E6B06" w:rsidP="009E6B0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         </w:t>
            </w:r>
            <w:r w:rsidR="00032B4A" w:rsidRPr="00AF18CF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vMerge/>
            <w:vAlign w:val="center"/>
          </w:tcPr>
          <w:p w14:paraId="2E6B8AEC" w14:textId="77777777" w:rsidR="0053138B" w:rsidRPr="00AF18CF" w:rsidRDefault="0053138B" w:rsidP="009E6B0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8"/>
            <w:vAlign w:val="center"/>
          </w:tcPr>
          <w:p w14:paraId="6EBD5107" w14:textId="77777777" w:rsidR="0053138B" w:rsidRPr="00AF18CF" w:rsidRDefault="009E6B06" w:rsidP="009E6B0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   </w:t>
            </w:r>
            <w:r w:rsidR="00032B4A" w:rsidRPr="00AF18CF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118" w:type="dxa"/>
            <w:gridSpan w:val="5"/>
            <w:vAlign w:val="center"/>
          </w:tcPr>
          <w:p w14:paraId="6FDA7CD1" w14:textId="77777777" w:rsidR="0053138B" w:rsidRPr="00AF18CF" w:rsidRDefault="009E6B06" w:rsidP="009E6B0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    </w:t>
            </w:r>
            <w:r w:rsidR="00032B4A" w:rsidRPr="00AF18CF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537" w:type="dxa"/>
            <w:gridSpan w:val="2"/>
            <w:vAlign w:val="center"/>
          </w:tcPr>
          <w:p w14:paraId="2BF340C2" w14:textId="77777777" w:rsidR="0053138B" w:rsidRPr="00AF18CF" w:rsidRDefault="002C7412" w:rsidP="000E3BA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</w:t>
            </w:r>
            <w:r w:rsidR="000E3BA8" w:rsidRPr="00AF18CF">
              <w:rPr>
                <w:rFonts w:ascii="Montserrat" w:hAnsi="Montserrat" w:cs="Arial"/>
                <w:bCs/>
                <w:sz w:val="20"/>
                <w:szCs w:val="20"/>
              </w:rPr>
              <w:t>Si</w:t>
            </w:r>
          </w:p>
        </w:tc>
      </w:tr>
      <w:tr w:rsidR="00171537" w:rsidRPr="00AF18CF" w14:paraId="301F3B18" w14:textId="77777777" w:rsidTr="00AF18CF">
        <w:tc>
          <w:tcPr>
            <w:tcW w:w="11908" w:type="dxa"/>
            <w:gridSpan w:val="26"/>
          </w:tcPr>
          <w:p w14:paraId="08378C85" w14:textId="77777777" w:rsidR="00171537" w:rsidRPr="00AF18CF" w:rsidRDefault="00171537" w:rsidP="00825E00">
            <w:pPr>
              <w:tabs>
                <w:tab w:val="num" w:pos="540"/>
              </w:tabs>
              <w:ind w:right="317"/>
              <w:jc w:val="both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Justificación de las características:</w:t>
            </w:r>
          </w:p>
          <w:p w14:paraId="561674A6" w14:textId="77777777" w:rsidR="00AE132E" w:rsidRPr="00AF18CF" w:rsidRDefault="00AE132E" w:rsidP="00825E00">
            <w:pPr>
              <w:tabs>
                <w:tab w:val="num" w:pos="540"/>
              </w:tabs>
              <w:ind w:right="317"/>
              <w:jc w:val="both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3685F632" w14:textId="77777777" w:rsidR="00AE132E" w:rsidRPr="00AF18CF" w:rsidRDefault="00AE132E" w:rsidP="00825E00">
            <w:pPr>
              <w:tabs>
                <w:tab w:val="num" w:pos="540"/>
              </w:tabs>
              <w:ind w:right="317"/>
              <w:jc w:val="both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AF18CF">
              <w:rPr>
                <w:rFonts w:ascii="Montserrat" w:hAnsi="Montserrat" w:cs="Arial"/>
                <w:b/>
                <w:bCs/>
                <w:sz w:val="18"/>
                <w:szCs w:val="18"/>
              </w:rPr>
              <w:t>Claridad:</w:t>
            </w:r>
            <w:r w:rsidRPr="00AF18CF">
              <w:rPr>
                <w:rFonts w:ascii="Montserrat" w:hAnsi="Montserrat" w:cs="Arial"/>
                <w:bCs/>
                <w:sz w:val="18"/>
                <w:szCs w:val="18"/>
              </w:rPr>
              <w:t xml:space="preserve"> El indicador es preciso e inequívoco</w:t>
            </w:r>
          </w:p>
          <w:p w14:paraId="4C42B999" w14:textId="77777777" w:rsidR="004D1379" w:rsidRDefault="004D1379" w:rsidP="00825E00">
            <w:pPr>
              <w:tabs>
                <w:tab w:val="num" w:pos="540"/>
              </w:tabs>
              <w:ind w:right="317"/>
              <w:jc w:val="both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36D70FD4" w14:textId="77777777" w:rsidR="00462B57" w:rsidRPr="00AF18CF" w:rsidRDefault="00AE132E" w:rsidP="00825E00">
            <w:pPr>
              <w:tabs>
                <w:tab w:val="num" w:pos="540"/>
              </w:tabs>
              <w:ind w:right="317"/>
              <w:jc w:val="both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18"/>
                <w:szCs w:val="18"/>
              </w:rPr>
              <w:t>Relevancia:</w:t>
            </w:r>
            <w:r w:rsidRPr="00AF18CF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462B57" w:rsidRPr="00AF18CF">
              <w:rPr>
                <w:rFonts w:ascii="Montserrat" w:hAnsi="Montserrat" w:cs="Arial"/>
                <w:bCs/>
                <w:sz w:val="18"/>
                <w:szCs w:val="18"/>
              </w:rPr>
              <w:t>Evalúa indirectamente el funcionamiento del Sistema de Referencia y Contrarreferencia por la pertinencia de la</w:t>
            </w:r>
            <w:r w:rsidR="00696945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462B57" w:rsidRPr="00AF18CF">
              <w:rPr>
                <w:rFonts w:ascii="Montserrat" w:hAnsi="Montserrat" w:cs="Arial"/>
                <w:bCs/>
                <w:sz w:val="18"/>
                <w:szCs w:val="18"/>
              </w:rPr>
              <w:t>referencia.</w:t>
            </w:r>
          </w:p>
          <w:p w14:paraId="73870B68" w14:textId="77777777" w:rsidR="004D1379" w:rsidRDefault="004D1379" w:rsidP="00825E00">
            <w:pPr>
              <w:tabs>
                <w:tab w:val="num" w:pos="540"/>
              </w:tabs>
              <w:ind w:right="317"/>
              <w:jc w:val="both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1ECD9B5B" w14:textId="77777777" w:rsidR="004D0C29" w:rsidRPr="00AF18CF" w:rsidRDefault="00AE132E" w:rsidP="00825E00">
            <w:pPr>
              <w:tabs>
                <w:tab w:val="num" w:pos="540"/>
              </w:tabs>
              <w:ind w:right="317"/>
              <w:jc w:val="both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AF18CF">
              <w:rPr>
                <w:rFonts w:ascii="Montserrat" w:hAnsi="Montserrat" w:cs="Arial"/>
                <w:b/>
                <w:bCs/>
                <w:sz w:val="18"/>
                <w:szCs w:val="18"/>
              </w:rPr>
              <w:t>Economía:</w:t>
            </w:r>
            <w:r w:rsidRPr="00AF18CF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4D0C29" w:rsidRPr="00AF18CF">
              <w:rPr>
                <w:rFonts w:ascii="Montserrat" w:hAnsi="Montserrat" w:cs="Arial"/>
                <w:bCs/>
                <w:sz w:val="18"/>
                <w:szCs w:val="18"/>
              </w:rPr>
              <w:t xml:space="preserve">La información base del indicador está presente en los sistemas de información institucionales </w:t>
            </w:r>
          </w:p>
          <w:p w14:paraId="50CDAE3A" w14:textId="77777777" w:rsidR="004D1379" w:rsidRDefault="004D1379" w:rsidP="00825E00">
            <w:pPr>
              <w:tabs>
                <w:tab w:val="num" w:pos="540"/>
              </w:tabs>
              <w:ind w:right="317"/>
              <w:jc w:val="both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7DA1BB70" w14:textId="77777777" w:rsidR="00AE132E" w:rsidRPr="00AF18CF" w:rsidRDefault="00AE132E" w:rsidP="00825E00">
            <w:pPr>
              <w:tabs>
                <w:tab w:val="num" w:pos="540"/>
              </w:tabs>
              <w:ind w:right="317"/>
              <w:jc w:val="both"/>
              <w:rPr>
                <w:rFonts w:ascii="Montserrat" w:hAnsi="Montserrat" w:cs="Arial"/>
                <w:bCs/>
                <w:sz w:val="18"/>
                <w:szCs w:val="18"/>
              </w:rPr>
            </w:pPr>
            <w:proofErr w:type="spellStart"/>
            <w:r w:rsidRPr="00AF18CF">
              <w:rPr>
                <w:rFonts w:ascii="Montserrat" w:hAnsi="Montserrat" w:cs="Arial"/>
                <w:b/>
                <w:bCs/>
                <w:sz w:val="18"/>
                <w:szCs w:val="18"/>
              </w:rPr>
              <w:t>Monitoreable</w:t>
            </w:r>
            <w:proofErr w:type="spellEnd"/>
            <w:r w:rsidRPr="00AF18CF">
              <w:rPr>
                <w:rFonts w:ascii="Montserrat" w:hAnsi="Montserrat" w:cs="Arial"/>
                <w:bCs/>
                <w:sz w:val="18"/>
                <w:szCs w:val="18"/>
              </w:rPr>
              <w:t>: El indicador puede ser verificado en los sistemas de información institucionales</w:t>
            </w:r>
          </w:p>
          <w:p w14:paraId="40A0A5C2" w14:textId="77777777" w:rsidR="004D1379" w:rsidRDefault="004D1379" w:rsidP="00825E00">
            <w:pPr>
              <w:tabs>
                <w:tab w:val="num" w:pos="540"/>
              </w:tabs>
              <w:ind w:right="317"/>
              <w:jc w:val="both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6E03D6DF" w14:textId="77777777" w:rsidR="00AE132E" w:rsidRPr="00AF18CF" w:rsidRDefault="00AE132E" w:rsidP="00825E00">
            <w:pPr>
              <w:tabs>
                <w:tab w:val="num" w:pos="540"/>
              </w:tabs>
              <w:ind w:right="317"/>
              <w:jc w:val="both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AF18CF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Adecuado: </w:t>
            </w:r>
            <w:r w:rsidRPr="00AF18CF">
              <w:rPr>
                <w:rFonts w:ascii="Montserrat" w:hAnsi="Montserrat" w:cs="Arial"/>
                <w:bCs/>
                <w:sz w:val="18"/>
                <w:szCs w:val="18"/>
              </w:rPr>
              <w:t>El indicador es adecuado, permite valorar la contribución del programa</w:t>
            </w:r>
          </w:p>
          <w:p w14:paraId="24570939" w14:textId="77777777" w:rsidR="004D1379" w:rsidRDefault="004D1379" w:rsidP="00825E00">
            <w:pPr>
              <w:ind w:right="317"/>
              <w:jc w:val="both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3A098BE0" w14:textId="77777777" w:rsidR="0002565E" w:rsidRPr="00AF18CF" w:rsidRDefault="00AE132E" w:rsidP="00825E00">
            <w:pPr>
              <w:ind w:right="317"/>
              <w:jc w:val="both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18"/>
                <w:szCs w:val="18"/>
              </w:rPr>
              <w:t>Aporte Marginal:</w:t>
            </w:r>
            <w:r w:rsidRPr="00AF18CF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796DA6" w:rsidRPr="00AF18CF">
              <w:rPr>
                <w:rFonts w:ascii="Montserrat" w:hAnsi="Montserrat" w:cs="Arial"/>
                <w:bCs/>
                <w:sz w:val="18"/>
                <w:szCs w:val="18"/>
              </w:rPr>
              <w:t xml:space="preserve">Si, </w:t>
            </w:r>
            <w:r w:rsidR="008825C4" w:rsidRPr="00AF18CF">
              <w:rPr>
                <w:rFonts w:ascii="Montserrat" w:hAnsi="Montserrat" w:cs="Arial"/>
                <w:bCs/>
                <w:sz w:val="18"/>
                <w:szCs w:val="18"/>
              </w:rPr>
              <w:t>p</w:t>
            </w:r>
            <w:r w:rsidR="00462B57" w:rsidRPr="00AF18CF">
              <w:rPr>
                <w:rFonts w:ascii="Montserrat" w:hAnsi="Montserrat" w:cs="Arial"/>
                <w:bCs/>
                <w:sz w:val="18"/>
                <w:szCs w:val="18"/>
              </w:rPr>
              <w:t>ermite planear</w:t>
            </w:r>
            <w:r w:rsidR="00462B57" w:rsidRPr="00AF18CF">
              <w:rPr>
                <w:rFonts w:ascii="Montserrat" w:hAnsi="Montserrat" w:cs="Arial"/>
                <w:sz w:val="18"/>
                <w:szCs w:val="18"/>
              </w:rPr>
              <w:t xml:space="preserve"> la atención especializada al paciente a partir de su valoración respecto a que su padecimiento corresponde a la cartera de servicios o vocación institucional </w:t>
            </w:r>
            <w:r w:rsidR="008825C4" w:rsidRPr="00AF18CF">
              <w:rPr>
                <w:rFonts w:ascii="Montserrat" w:hAnsi="Montserrat" w:cs="Arial"/>
                <w:sz w:val="18"/>
                <w:szCs w:val="18"/>
              </w:rPr>
              <w:t>d</w:t>
            </w:r>
            <w:r w:rsidR="00462B57" w:rsidRPr="00AF18CF">
              <w:rPr>
                <w:rFonts w:ascii="Montserrat" w:hAnsi="Montserrat" w:cs="Arial"/>
                <w:sz w:val="18"/>
                <w:szCs w:val="18"/>
              </w:rPr>
              <w:t xml:space="preserve">e las </w:t>
            </w:r>
            <w:r w:rsidR="008825C4" w:rsidRPr="00AF18CF">
              <w:rPr>
                <w:rFonts w:ascii="Montserrat" w:hAnsi="Montserrat" w:cs="Arial"/>
                <w:sz w:val="18"/>
                <w:szCs w:val="18"/>
              </w:rPr>
              <w:t xml:space="preserve">entidades </w:t>
            </w:r>
            <w:r w:rsidR="00462B57" w:rsidRPr="00AF18CF">
              <w:rPr>
                <w:rFonts w:ascii="Montserrat" w:hAnsi="Montserrat" w:cs="Arial"/>
                <w:sz w:val="18"/>
                <w:szCs w:val="18"/>
              </w:rPr>
              <w:t xml:space="preserve">que </w:t>
            </w:r>
            <w:r w:rsidR="008825C4" w:rsidRPr="00AF18CF">
              <w:rPr>
                <w:rFonts w:ascii="Montserrat" w:hAnsi="Montserrat" w:cs="Arial"/>
                <w:sz w:val="18"/>
                <w:szCs w:val="18"/>
              </w:rPr>
              <w:t>i</w:t>
            </w:r>
            <w:r w:rsidR="00462B57" w:rsidRPr="00AF18CF">
              <w:rPr>
                <w:rFonts w:ascii="Montserrat" w:hAnsi="Montserrat" w:cs="Arial"/>
                <w:sz w:val="18"/>
                <w:szCs w:val="18"/>
              </w:rPr>
              <w:t>ntegran el</w:t>
            </w:r>
            <w:r w:rsidR="00696945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="00462B57" w:rsidRPr="00AF18CF">
              <w:rPr>
                <w:rFonts w:ascii="Montserrat" w:hAnsi="Montserrat" w:cs="Arial"/>
                <w:sz w:val="18"/>
                <w:szCs w:val="18"/>
              </w:rPr>
              <w:t>programa</w:t>
            </w:r>
          </w:p>
          <w:p w14:paraId="1B47E4BF" w14:textId="77777777" w:rsidR="0002565E" w:rsidRPr="00AF18CF" w:rsidRDefault="0002565E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AA719A" w:rsidRPr="00AF18CF" w14:paraId="3C21E7DF" w14:textId="77777777" w:rsidTr="00AF18CF">
        <w:tc>
          <w:tcPr>
            <w:tcW w:w="11908" w:type="dxa"/>
            <w:gridSpan w:val="26"/>
          </w:tcPr>
          <w:p w14:paraId="392ADB0A" w14:textId="77777777" w:rsidR="005E6741" w:rsidRPr="00AF18CF" w:rsidRDefault="00AA719A" w:rsidP="00177F02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lastRenderedPageBreak/>
              <w:t>Serie de información disponible:</w:t>
            </w:r>
            <w:r w:rsidR="00EA79C6"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9A402F" w:rsidRPr="00AF18CF">
              <w:rPr>
                <w:rFonts w:ascii="Montserrat" w:hAnsi="Montserrat" w:cs="Arial"/>
                <w:bCs/>
                <w:sz w:val="20"/>
                <w:szCs w:val="20"/>
              </w:rPr>
              <w:t>2016</w:t>
            </w:r>
            <w:r w:rsidR="00190821" w:rsidRPr="00AF18CF">
              <w:rPr>
                <w:rFonts w:ascii="Montserrat" w:hAnsi="Montserrat" w:cs="Arial"/>
                <w:bCs/>
                <w:sz w:val="20"/>
                <w:szCs w:val="20"/>
              </w:rPr>
              <w:t>, 2017</w:t>
            </w:r>
            <w:r w:rsidR="00887CD6" w:rsidRPr="00AF18CF">
              <w:rPr>
                <w:rFonts w:ascii="Montserrat" w:hAnsi="Montserrat" w:cs="Arial"/>
                <w:bCs/>
                <w:sz w:val="20"/>
                <w:szCs w:val="20"/>
              </w:rPr>
              <w:t>, 2018</w:t>
            </w:r>
            <w:r w:rsidR="00720600">
              <w:rPr>
                <w:rFonts w:ascii="Montserrat" w:hAnsi="Montserrat" w:cs="Arial"/>
                <w:bCs/>
                <w:sz w:val="20"/>
                <w:szCs w:val="20"/>
              </w:rPr>
              <w:t>, 2019</w:t>
            </w:r>
            <w:r w:rsidR="00F80768">
              <w:rPr>
                <w:rFonts w:ascii="Montserrat" w:hAnsi="Montserrat" w:cs="Arial"/>
                <w:bCs/>
                <w:sz w:val="20"/>
                <w:szCs w:val="20"/>
              </w:rPr>
              <w:t>, 2020</w:t>
            </w:r>
            <w:r w:rsidR="00592EDA">
              <w:rPr>
                <w:rFonts w:ascii="Montserrat" w:hAnsi="Montserrat" w:cs="Arial"/>
                <w:bCs/>
                <w:sz w:val="20"/>
                <w:szCs w:val="20"/>
              </w:rPr>
              <w:t>, 2021</w:t>
            </w:r>
            <w:r w:rsidR="004B6F7C">
              <w:rPr>
                <w:rFonts w:ascii="Montserrat" w:hAnsi="Montserrat" w:cs="Arial"/>
                <w:bCs/>
                <w:sz w:val="20"/>
                <w:szCs w:val="20"/>
              </w:rPr>
              <w:t xml:space="preserve">, </w:t>
            </w:r>
            <w:r w:rsidR="004B6F7C" w:rsidRPr="002F3AFA">
              <w:rPr>
                <w:rFonts w:ascii="Montserrat" w:hAnsi="Montserrat" w:cs="Arial"/>
                <w:bCs/>
                <w:sz w:val="20"/>
                <w:szCs w:val="20"/>
              </w:rPr>
              <w:t>2022</w:t>
            </w:r>
            <w:r w:rsidR="002F3AFA" w:rsidRPr="00E56C29">
              <w:rPr>
                <w:rFonts w:ascii="Montserrat" w:hAnsi="Montserrat" w:cs="Arial"/>
                <w:bCs/>
                <w:sz w:val="20"/>
                <w:szCs w:val="20"/>
              </w:rPr>
              <w:t>, 2023</w:t>
            </w:r>
            <w:r w:rsidR="00E56C29" w:rsidRPr="00E56C29">
              <w:rPr>
                <w:rFonts w:ascii="Montserrat" w:hAnsi="Montserrat" w:cs="Arial"/>
                <w:bCs/>
                <w:sz w:val="20"/>
                <w:szCs w:val="20"/>
              </w:rPr>
              <w:t>,</w:t>
            </w:r>
            <w:r w:rsidR="00E56C29">
              <w:rPr>
                <w:rFonts w:ascii="Montserrat" w:hAnsi="Montserrat" w:cs="Arial"/>
                <w:bCs/>
                <w:sz w:val="20"/>
                <w:szCs w:val="20"/>
              </w:rPr>
              <w:t xml:space="preserve"> 2024,2025</w:t>
            </w:r>
          </w:p>
        </w:tc>
      </w:tr>
      <w:tr w:rsidR="00AA719A" w:rsidRPr="00AF18CF" w14:paraId="722919C0" w14:textId="77777777" w:rsidTr="00AF18CF">
        <w:tc>
          <w:tcPr>
            <w:tcW w:w="11908" w:type="dxa"/>
            <w:gridSpan w:val="26"/>
            <w:tcBorders>
              <w:bottom w:val="single" w:sz="4" w:space="0" w:color="auto"/>
            </w:tcBorders>
          </w:tcPr>
          <w:p w14:paraId="7BC93CA9" w14:textId="77777777" w:rsidR="003E4854" w:rsidRPr="00AF18CF" w:rsidRDefault="00AA719A" w:rsidP="0002565E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Responsable del indicador:</w:t>
            </w:r>
            <w:r w:rsidR="00CD51B9"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CD51B9" w:rsidRPr="00AF18CF">
              <w:rPr>
                <w:rFonts w:ascii="Montserrat" w:hAnsi="Montserrat" w:cs="Arial"/>
                <w:bCs/>
                <w:sz w:val="20"/>
                <w:szCs w:val="20"/>
              </w:rPr>
              <w:t>CCINSHAE</w:t>
            </w:r>
            <w:r w:rsidR="003D4E64"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, </w:t>
            </w:r>
            <w:r w:rsidR="0020204B" w:rsidRPr="00AF18CF">
              <w:rPr>
                <w:rFonts w:ascii="Montserrat" w:hAnsi="Montserrat" w:cs="Arial"/>
                <w:bCs/>
                <w:sz w:val="20"/>
                <w:szCs w:val="20"/>
              </w:rPr>
              <w:t>entidades</w:t>
            </w:r>
            <w:r w:rsidR="006E5722"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ejecutoras del programa</w:t>
            </w:r>
          </w:p>
        </w:tc>
      </w:tr>
      <w:tr w:rsidR="00712663" w:rsidRPr="00AF18CF" w14:paraId="4B27ED7A" w14:textId="77777777" w:rsidTr="00AF18CF">
        <w:tc>
          <w:tcPr>
            <w:tcW w:w="11908" w:type="dxa"/>
            <w:gridSpan w:val="26"/>
            <w:shd w:val="clear" w:color="auto" w:fill="C00000"/>
          </w:tcPr>
          <w:p w14:paraId="2DCDCC6B" w14:textId="77777777" w:rsidR="00712663" w:rsidRPr="00AF18CF" w:rsidRDefault="005411EB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4. Determinación de metas</w:t>
            </w:r>
          </w:p>
        </w:tc>
      </w:tr>
      <w:tr w:rsidR="00270110" w:rsidRPr="00AF18CF" w14:paraId="60B4FC6A" w14:textId="77777777" w:rsidTr="00AF18CF">
        <w:trPr>
          <w:trHeight w:val="274"/>
        </w:trPr>
        <w:tc>
          <w:tcPr>
            <w:tcW w:w="5501" w:type="dxa"/>
            <w:gridSpan w:val="13"/>
          </w:tcPr>
          <w:p w14:paraId="55CE3B88" w14:textId="77777777" w:rsidR="00270110" w:rsidRPr="00AF18CF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Línea base, valor y fecha (año y período)</w:t>
            </w:r>
          </w:p>
        </w:tc>
        <w:tc>
          <w:tcPr>
            <w:tcW w:w="236" w:type="dxa"/>
            <w:gridSpan w:val="2"/>
            <w:vMerge w:val="restart"/>
          </w:tcPr>
          <w:p w14:paraId="63CEC4EB" w14:textId="77777777" w:rsidR="00270110" w:rsidRPr="00AF18CF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171" w:type="dxa"/>
            <w:gridSpan w:val="11"/>
          </w:tcPr>
          <w:p w14:paraId="0E655686" w14:textId="77777777" w:rsidR="00270110" w:rsidRPr="00AF18CF" w:rsidRDefault="00D27D6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Meta y período de cumplimiento</w:t>
            </w:r>
          </w:p>
        </w:tc>
      </w:tr>
      <w:tr w:rsidR="00013FE4" w:rsidRPr="00AF18CF" w14:paraId="7200A092" w14:textId="77777777" w:rsidTr="00AF18CF">
        <w:trPr>
          <w:trHeight w:val="274"/>
        </w:trPr>
        <w:tc>
          <w:tcPr>
            <w:tcW w:w="1815" w:type="dxa"/>
          </w:tcPr>
          <w:p w14:paraId="1A444F05" w14:textId="77777777" w:rsidR="00013FE4" w:rsidRPr="00AF18CF" w:rsidRDefault="003943F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</w:t>
            </w:r>
            <w:r w:rsidR="00996DCB"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134" w:type="dxa"/>
            <w:gridSpan w:val="3"/>
          </w:tcPr>
          <w:p w14:paraId="4998247E" w14:textId="77777777" w:rsidR="00013FE4" w:rsidRPr="00AF18CF" w:rsidRDefault="003943F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</w:t>
            </w:r>
            <w:r w:rsidR="00996DCB"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2552" w:type="dxa"/>
            <w:gridSpan w:val="9"/>
          </w:tcPr>
          <w:p w14:paraId="6CBCE005" w14:textId="77777777" w:rsidR="00013FE4" w:rsidRPr="00AF18CF" w:rsidRDefault="003943F6" w:rsidP="005B317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</w:t>
            </w:r>
            <w:r w:rsidR="00996DCB"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236" w:type="dxa"/>
            <w:gridSpan w:val="2"/>
            <w:vMerge/>
          </w:tcPr>
          <w:p w14:paraId="24EB0F63" w14:textId="77777777" w:rsidR="00013FE4" w:rsidRPr="00AF18CF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  <w:gridSpan w:val="7"/>
          </w:tcPr>
          <w:p w14:paraId="68BA0E45" w14:textId="77777777" w:rsidR="00013FE4" w:rsidRPr="00AF18CF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3118" w:type="dxa"/>
            <w:gridSpan w:val="4"/>
          </w:tcPr>
          <w:p w14:paraId="44C26DF1" w14:textId="77777777" w:rsidR="00013FE4" w:rsidRPr="00AF18CF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013FE4" w:rsidRPr="00AF18CF" w14:paraId="7173390D" w14:textId="77777777" w:rsidTr="00AF18CF">
        <w:trPr>
          <w:trHeight w:val="274"/>
        </w:trPr>
        <w:tc>
          <w:tcPr>
            <w:tcW w:w="1815" w:type="dxa"/>
            <w:vAlign w:val="center"/>
          </w:tcPr>
          <w:p w14:paraId="1D1D0211" w14:textId="77777777" w:rsidR="00013FE4" w:rsidRPr="00AF18CF" w:rsidRDefault="009A402F" w:rsidP="005E5760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   69.7</w:t>
            </w:r>
          </w:p>
        </w:tc>
        <w:tc>
          <w:tcPr>
            <w:tcW w:w="1134" w:type="dxa"/>
            <w:gridSpan w:val="3"/>
            <w:vAlign w:val="center"/>
          </w:tcPr>
          <w:p w14:paraId="7CE517EB" w14:textId="77777777" w:rsidR="00013FE4" w:rsidRPr="00AF18CF" w:rsidRDefault="004A2728" w:rsidP="003943F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    2016</w:t>
            </w:r>
          </w:p>
        </w:tc>
        <w:tc>
          <w:tcPr>
            <w:tcW w:w="2552" w:type="dxa"/>
            <w:gridSpan w:val="9"/>
            <w:vAlign w:val="center"/>
          </w:tcPr>
          <w:p w14:paraId="7BD39917" w14:textId="77777777" w:rsidR="00013FE4" w:rsidRPr="00AF18CF" w:rsidRDefault="002A5657" w:rsidP="003943F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      Mzo-Jun-Sep-Dic</w:t>
            </w:r>
          </w:p>
        </w:tc>
        <w:tc>
          <w:tcPr>
            <w:tcW w:w="236" w:type="dxa"/>
            <w:gridSpan w:val="2"/>
            <w:vMerge/>
          </w:tcPr>
          <w:p w14:paraId="7FA4F7F8" w14:textId="77777777" w:rsidR="00013FE4" w:rsidRPr="00AF18CF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  <w:gridSpan w:val="7"/>
          </w:tcPr>
          <w:p w14:paraId="76C9E598" w14:textId="77777777" w:rsidR="00013FE4" w:rsidRPr="00AF18CF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Período de cumplimiento</w:t>
            </w:r>
          </w:p>
        </w:tc>
        <w:tc>
          <w:tcPr>
            <w:tcW w:w="3118" w:type="dxa"/>
            <w:gridSpan w:val="4"/>
          </w:tcPr>
          <w:p w14:paraId="3A79E5D7" w14:textId="77777777" w:rsidR="009E1033" w:rsidRPr="00AF18CF" w:rsidRDefault="00C1631E" w:rsidP="009E103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          </w:t>
            </w:r>
            <w:r w:rsidR="00235966" w:rsidRPr="00AF18CF">
              <w:rPr>
                <w:rFonts w:ascii="Montserrat" w:hAnsi="Montserrat" w:cs="Arial"/>
                <w:bCs/>
                <w:sz w:val="20"/>
                <w:szCs w:val="20"/>
              </w:rPr>
              <w:t>Mzo-Jun-Sep-Dic</w:t>
            </w:r>
          </w:p>
        </w:tc>
      </w:tr>
      <w:tr w:rsidR="00270110" w:rsidRPr="00AF18CF" w14:paraId="183DFB37" w14:textId="77777777" w:rsidTr="00AF18CF">
        <w:trPr>
          <w:trHeight w:val="274"/>
        </w:trPr>
        <w:tc>
          <w:tcPr>
            <w:tcW w:w="5501" w:type="dxa"/>
            <w:gridSpan w:val="13"/>
          </w:tcPr>
          <w:p w14:paraId="6C60A0A8" w14:textId="77777777" w:rsidR="00760043" w:rsidRPr="00AF18CF" w:rsidRDefault="00593811" w:rsidP="00F0278B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Comportamiento del indicador hacia </w:t>
            </w:r>
            <w:r w:rsidR="00760043"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la </w:t>
            </w:r>
            <w:r w:rsidR="00F0278B"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236" w:type="dxa"/>
            <w:gridSpan w:val="2"/>
            <w:vMerge/>
          </w:tcPr>
          <w:p w14:paraId="52002D77" w14:textId="77777777" w:rsidR="00270110" w:rsidRPr="00AF18CF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171" w:type="dxa"/>
            <w:gridSpan w:val="11"/>
          </w:tcPr>
          <w:p w14:paraId="6BDCFF60" w14:textId="77777777" w:rsidR="00270110" w:rsidRPr="00AF18CF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Parámetros de semaforización</w:t>
            </w:r>
          </w:p>
        </w:tc>
      </w:tr>
      <w:tr w:rsidR="00D5103F" w:rsidRPr="00AF18CF" w14:paraId="61418F9D" w14:textId="77777777" w:rsidTr="00AF18CF">
        <w:trPr>
          <w:trHeight w:val="274"/>
        </w:trPr>
        <w:tc>
          <w:tcPr>
            <w:tcW w:w="5501" w:type="dxa"/>
            <w:gridSpan w:val="13"/>
          </w:tcPr>
          <w:p w14:paraId="1CDB31D8" w14:textId="77777777" w:rsidR="00D5103F" w:rsidRPr="00AF18CF" w:rsidRDefault="00EA5E2E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Ascendente</w:t>
            </w:r>
          </w:p>
        </w:tc>
        <w:tc>
          <w:tcPr>
            <w:tcW w:w="236" w:type="dxa"/>
            <w:gridSpan w:val="2"/>
            <w:vMerge/>
          </w:tcPr>
          <w:p w14:paraId="2013DC2D" w14:textId="77777777" w:rsidR="00D5103F" w:rsidRPr="00AF18CF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5"/>
          </w:tcPr>
          <w:p w14:paraId="34F2605F" w14:textId="77777777" w:rsidR="00D5103F" w:rsidRPr="00AF18CF" w:rsidRDefault="003943F6" w:rsidP="005B317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</w:t>
            </w:r>
            <w:r w:rsidR="00D5103F"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Verde</w:t>
            </w:r>
          </w:p>
        </w:tc>
        <w:tc>
          <w:tcPr>
            <w:tcW w:w="1843" w:type="dxa"/>
            <w:gridSpan w:val="5"/>
          </w:tcPr>
          <w:p w14:paraId="5167F4ED" w14:textId="77777777" w:rsidR="00D5103F" w:rsidRPr="00AF18CF" w:rsidRDefault="003943F6" w:rsidP="005B317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</w:t>
            </w:r>
            <w:r w:rsidR="00D5103F"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Amarillo</w:t>
            </w:r>
          </w:p>
        </w:tc>
        <w:tc>
          <w:tcPr>
            <w:tcW w:w="2438" w:type="dxa"/>
          </w:tcPr>
          <w:p w14:paraId="1C2C0ED4" w14:textId="77777777" w:rsidR="00D5103F" w:rsidRPr="00AF18CF" w:rsidRDefault="003943F6" w:rsidP="005B317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   </w:t>
            </w:r>
            <w:r w:rsidR="00D5103F"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Rojo</w:t>
            </w:r>
          </w:p>
        </w:tc>
      </w:tr>
      <w:tr w:rsidR="005E5760" w:rsidRPr="00AF18CF" w14:paraId="0160E9A2" w14:textId="77777777" w:rsidTr="00AF18CF">
        <w:trPr>
          <w:trHeight w:val="274"/>
        </w:trPr>
        <w:tc>
          <w:tcPr>
            <w:tcW w:w="2843" w:type="dxa"/>
            <w:gridSpan w:val="3"/>
            <w:tcBorders>
              <w:bottom w:val="single" w:sz="4" w:space="0" w:color="auto"/>
            </w:tcBorders>
          </w:tcPr>
          <w:p w14:paraId="2B2F6782" w14:textId="77777777" w:rsidR="005E5760" w:rsidRPr="00AF18CF" w:rsidRDefault="005E57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Factibilidad</w:t>
            </w:r>
          </w:p>
        </w:tc>
        <w:tc>
          <w:tcPr>
            <w:tcW w:w="2658" w:type="dxa"/>
            <w:gridSpan w:val="10"/>
            <w:tcBorders>
              <w:bottom w:val="single" w:sz="4" w:space="0" w:color="auto"/>
            </w:tcBorders>
          </w:tcPr>
          <w:p w14:paraId="54A2A82A" w14:textId="77777777" w:rsidR="005E5760" w:rsidRPr="00AF18CF" w:rsidRDefault="005E57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Razonable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14:paraId="7F1A2719" w14:textId="77777777" w:rsidR="005E5760" w:rsidRPr="00AF18CF" w:rsidRDefault="005E57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5"/>
            <w:tcBorders>
              <w:bottom w:val="single" w:sz="4" w:space="0" w:color="auto"/>
            </w:tcBorders>
          </w:tcPr>
          <w:p w14:paraId="295AF41A" w14:textId="77777777" w:rsidR="005E5760" w:rsidRPr="00AF18CF" w:rsidRDefault="005E5760" w:rsidP="006965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95% &lt;</w:t>
            </w:r>
            <w:r w:rsidRPr="00AF18CF">
              <w:rPr>
                <w:rFonts w:ascii="Montserrat" w:hAnsi="Montserrat" w:cs="Arial"/>
                <w:bCs/>
                <w:sz w:val="18"/>
                <w:szCs w:val="20"/>
              </w:rPr>
              <w:t>=</w:t>
            </w: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X &lt;= 105%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14:paraId="21535367" w14:textId="77777777" w:rsidR="005E5760" w:rsidRPr="00AF18CF" w:rsidRDefault="00C1631E" w:rsidP="006965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  </w:t>
            </w:r>
            <w:r w:rsidR="005E5760" w:rsidRPr="00AF18CF">
              <w:rPr>
                <w:rFonts w:ascii="Montserrat" w:hAnsi="Montserrat" w:cs="Arial"/>
                <w:bCs/>
                <w:sz w:val="20"/>
                <w:szCs w:val="20"/>
              </w:rPr>
              <w:t>90%&lt;=X&lt; 95%</w:t>
            </w:r>
          </w:p>
          <w:p w14:paraId="14B3549D" w14:textId="77777777" w:rsidR="005E5760" w:rsidRPr="00AF18CF" w:rsidRDefault="00C1631E" w:rsidP="00BB03A9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 </w:t>
            </w:r>
            <w:proofErr w:type="spellStart"/>
            <w:r w:rsidR="005E5760" w:rsidRPr="00AF18CF">
              <w:rPr>
                <w:rFonts w:ascii="Montserrat" w:hAnsi="Montserrat" w:cs="Arial"/>
                <w:bCs/>
                <w:sz w:val="20"/>
                <w:szCs w:val="20"/>
              </w:rPr>
              <w:t>ó</w:t>
            </w:r>
            <w:proofErr w:type="spellEnd"/>
          </w:p>
          <w:p w14:paraId="3EC1B55F" w14:textId="77777777" w:rsidR="005E5760" w:rsidRPr="00AF18CF" w:rsidRDefault="005E5760" w:rsidP="006965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105% &lt;X &lt;= 110%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857C90B" w14:textId="77777777" w:rsidR="005E5760" w:rsidRPr="00AF18CF" w:rsidRDefault="00C1631E" w:rsidP="006965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        </w:t>
            </w:r>
            <w:r w:rsidR="005E5760" w:rsidRPr="00AF18CF">
              <w:rPr>
                <w:rFonts w:ascii="Montserrat" w:hAnsi="Montserrat" w:cs="Arial"/>
                <w:bCs/>
                <w:sz w:val="20"/>
                <w:szCs w:val="20"/>
              </w:rPr>
              <w:t>X&lt;90%</w:t>
            </w:r>
          </w:p>
          <w:p w14:paraId="4AC86211" w14:textId="77777777" w:rsidR="005E5760" w:rsidRPr="00AF18CF" w:rsidRDefault="00C1631E" w:rsidP="006965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  </w:t>
            </w:r>
            <w:proofErr w:type="spellStart"/>
            <w:r w:rsidR="005E5760" w:rsidRPr="00AF18CF">
              <w:rPr>
                <w:rFonts w:ascii="Montserrat" w:hAnsi="Montserrat" w:cs="Arial"/>
                <w:bCs/>
                <w:sz w:val="20"/>
                <w:szCs w:val="20"/>
              </w:rPr>
              <w:t>ó</w:t>
            </w:r>
            <w:proofErr w:type="spellEnd"/>
          </w:p>
          <w:p w14:paraId="0467136D" w14:textId="77777777" w:rsidR="005E5760" w:rsidRPr="00AF18CF" w:rsidRDefault="00C1631E" w:rsidP="006965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        </w:t>
            </w:r>
            <w:r w:rsidR="005E5760" w:rsidRPr="00AF18CF">
              <w:rPr>
                <w:rFonts w:ascii="Montserrat" w:hAnsi="Montserrat" w:cs="Arial"/>
                <w:bCs/>
                <w:sz w:val="20"/>
                <w:szCs w:val="20"/>
              </w:rPr>
              <w:t>X&gt;110%</w:t>
            </w:r>
          </w:p>
        </w:tc>
      </w:tr>
      <w:tr w:rsidR="001D73C0" w:rsidRPr="00AF18CF" w14:paraId="6DB48032" w14:textId="77777777" w:rsidTr="00AF18CF">
        <w:trPr>
          <w:trHeight w:val="274"/>
        </w:trPr>
        <w:tc>
          <w:tcPr>
            <w:tcW w:w="11908" w:type="dxa"/>
            <w:gridSpan w:val="26"/>
            <w:tcBorders>
              <w:bottom w:val="single" w:sz="4" w:space="0" w:color="auto"/>
            </w:tcBorders>
            <w:shd w:val="clear" w:color="auto" w:fill="C00000"/>
          </w:tcPr>
          <w:p w14:paraId="7DEFA5B1" w14:textId="77777777" w:rsidR="001D73C0" w:rsidRPr="00AF18CF" w:rsidRDefault="001D73C0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5. Características de las variables (metadatos)</w:t>
            </w:r>
          </w:p>
        </w:tc>
      </w:tr>
      <w:tr w:rsidR="00C00FCA" w:rsidRPr="00AF18CF" w14:paraId="5CA52581" w14:textId="77777777" w:rsidTr="00AF18CF">
        <w:trPr>
          <w:trHeight w:val="274"/>
        </w:trPr>
        <w:tc>
          <w:tcPr>
            <w:tcW w:w="11908" w:type="dxa"/>
            <w:gridSpan w:val="26"/>
          </w:tcPr>
          <w:p w14:paraId="40A6DE26" w14:textId="77777777" w:rsidR="00C00FCA" w:rsidRPr="00AF18CF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Variables</w:t>
            </w:r>
            <w:r w:rsidR="00E923BD"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563CA" w:rsidRPr="00AF18CF" w14:paraId="0782EFA2" w14:textId="77777777" w:rsidTr="00AF18CF">
        <w:trPr>
          <w:trHeight w:val="148"/>
        </w:trPr>
        <w:tc>
          <w:tcPr>
            <w:tcW w:w="6096" w:type="dxa"/>
            <w:gridSpan w:val="17"/>
          </w:tcPr>
          <w:p w14:paraId="469CAD90" w14:textId="77777777" w:rsidR="00C563CA" w:rsidRPr="00AF18CF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3" w:type="dxa"/>
            <w:vMerge w:val="restart"/>
          </w:tcPr>
          <w:p w14:paraId="03BB5624" w14:textId="77777777" w:rsidR="00C563CA" w:rsidRPr="00AF18CF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8"/>
          </w:tcPr>
          <w:p w14:paraId="44E45AFA" w14:textId="77777777" w:rsidR="00C563CA" w:rsidRPr="00AF18CF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Descripción de la variable</w:t>
            </w:r>
          </w:p>
        </w:tc>
      </w:tr>
      <w:tr w:rsidR="00C563CA" w:rsidRPr="00AF18CF" w14:paraId="5DCED7B7" w14:textId="77777777" w:rsidTr="00AF18CF">
        <w:trPr>
          <w:trHeight w:val="483"/>
        </w:trPr>
        <w:tc>
          <w:tcPr>
            <w:tcW w:w="6096" w:type="dxa"/>
            <w:gridSpan w:val="17"/>
          </w:tcPr>
          <w:p w14:paraId="452FBFEA" w14:textId="77777777" w:rsidR="00C563CA" w:rsidRPr="00AF18CF" w:rsidRDefault="00E923BD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V1</w:t>
            </w:r>
          </w:p>
          <w:p w14:paraId="53E25856" w14:textId="77777777" w:rsidR="006E5722" w:rsidRPr="00AF18CF" w:rsidRDefault="00065839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N</w:t>
            </w:r>
            <w:r w:rsidR="00771B7A" w:rsidRPr="00AF18CF">
              <w:rPr>
                <w:rFonts w:ascii="Montserrat" w:hAnsi="Montserrat" w:cs="Arial"/>
                <w:bCs/>
                <w:sz w:val="20"/>
                <w:szCs w:val="20"/>
              </w:rPr>
              <w:t>úmero</w:t>
            </w: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de consultas de primera vez otorgadas en el </w:t>
            </w:r>
          </w:p>
          <w:p w14:paraId="2D63BD66" w14:textId="77777777" w:rsidR="003E4854" w:rsidRPr="00AF18CF" w:rsidRDefault="00065839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periodo</w:t>
            </w:r>
          </w:p>
          <w:p w14:paraId="6665C9F2" w14:textId="77777777" w:rsidR="00733DB7" w:rsidRDefault="00733DB7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A012539" w14:textId="77777777" w:rsidR="00223E7D" w:rsidRPr="00AF18CF" w:rsidRDefault="00223E7D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48FDF384" w14:textId="77777777" w:rsidR="009436C7" w:rsidRPr="00AF18CF" w:rsidRDefault="003F083A" w:rsidP="00065839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V</w:t>
            </w:r>
            <w:r w:rsidR="00E923BD" w:rsidRPr="00AF18CF">
              <w:rPr>
                <w:rFonts w:ascii="Montserrat" w:hAnsi="Montserrat" w:cs="Arial"/>
                <w:bCs/>
                <w:sz w:val="20"/>
                <w:szCs w:val="20"/>
              </w:rPr>
              <w:t>2</w:t>
            </w:r>
          </w:p>
          <w:p w14:paraId="5173F9CD" w14:textId="77777777" w:rsidR="00653F03" w:rsidRPr="00AF18CF" w:rsidRDefault="00065839" w:rsidP="00847169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N</w:t>
            </w:r>
            <w:r w:rsidR="00771B7A" w:rsidRPr="00AF18CF">
              <w:rPr>
                <w:rFonts w:ascii="Montserrat" w:hAnsi="Montserrat" w:cs="Arial"/>
                <w:bCs/>
                <w:sz w:val="20"/>
                <w:szCs w:val="20"/>
              </w:rPr>
              <w:t>úmero</w:t>
            </w: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de </w:t>
            </w:r>
            <w:r w:rsidR="00AF18CF" w:rsidRPr="00AF18CF">
              <w:rPr>
                <w:rFonts w:ascii="Montserrat" w:hAnsi="Montserrat" w:cs="Arial"/>
                <w:bCs/>
                <w:sz w:val="20"/>
                <w:szCs w:val="20"/>
              </w:rPr>
              <w:t>preconsultas</w:t>
            </w: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otorgadas en el periodo</w:t>
            </w:r>
          </w:p>
        </w:tc>
        <w:tc>
          <w:tcPr>
            <w:tcW w:w="313" w:type="dxa"/>
            <w:vMerge/>
          </w:tcPr>
          <w:p w14:paraId="6943080F" w14:textId="77777777" w:rsidR="00C563CA" w:rsidRPr="00AF18CF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8"/>
          </w:tcPr>
          <w:p w14:paraId="4B991871" w14:textId="77777777" w:rsidR="00F01C0F" w:rsidRPr="00AF18CF" w:rsidRDefault="00F01C0F" w:rsidP="00F01C0F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B4B7D98" w14:textId="77777777" w:rsidR="00F01C0F" w:rsidRPr="00AF18CF" w:rsidRDefault="00065839" w:rsidP="0002565E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Consultas de primera vez otorgadas en el periodo</w:t>
            </w:r>
            <w:r w:rsidR="0053522F"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 a pacientes no incorporados a la institución</w:t>
            </w:r>
            <w:r w:rsidR="006E5722"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previamente</w:t>
            </w:r>
          </w:p>
          <w:p w14:paraId="2A1E0231" w14:textId="77777777" w:rsidR="00733DB7" w:rsidRDefault="00353BAB" w:rsidP="0002565E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  <w:p w14:paraId="5C46E0B3" w14:textId="77777777" w:rsidR="00223E7D" w:rsidRPr="00AF18CF" w:rsidRDefault="00223E7D" w:rsidP="0002565E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  <w:p w14:paraId="26271722" w14:textId="77777777" w:rsidR="003E58AA" w:rsidRPr="00AF18CF" w:rsidRDefault="00AF18CF" w:rsidP="0002565E">
            <w:p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Pre consultas</w:t>
            </w:r>
            <w:r w:rsidR="00FE10DA"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otorgadas en el perí</w:t>
            </w:r>
            <w:r w:rsidR="00065839" w:rsidRPr="00AF18CF">
              <w:rPr>
                <w:rFonts w:ascii="Montserrat" w:hAnsi="Montserrat" w:cs="Arial"/>
                <w:bCs/>
                <w:sz w:val="20"/>
                <w:szCs w:val="20"/>
              </w:rPr>
              <w:t>odo</w:t>
            </w:r>
            <w:r w:rsidR="00FE10DA"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a pacientes que no han sido incorporados a la institución</w:t>
            </w:r>
            <w:r w:rsidR="006E5722"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previamente</w:t>
            </w:r>
          </w:p>
          <w:p w14:paraId="44AF409A" w14:textId="77777777" w:rsidR="00A868C2" w:rsidRDefault="00A868C2" w:rsidP="00065839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24E3834" w14:textId="77777777" w:rsidR="00223E7D" w:rsidRPr="00AF18CF" w:rsidRDefault="00223E7D" w:rsidP="00065839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C563CA" w:rsidRPr="00AF18CF" w14:paraId="30804815" w14:textId="77777777" w:rsidTr="00AF18CF">
        <w:trPr>
          <w:trHeight w:val="285"/>
        </w:trPr>
        <w:tc>
          <w:tcPr>
            <w:tcW w:w="6096" w:type="dxa"/>
            <w:gridSpan w:val="17"/>
          </w:tcPr>
          <w:p w14:paraId="6336637E" w14:textId="77777777" w:rsidR="00C563CA" w:rsidRPr="00AF18CF" w:rsidRDefault="009436C7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Fuentes</w:t>
            </w:r>
            <w:r w:rsid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(medios de verificación):</w:t>
            </w:r>
          </w:p>
        </w:tc>
        <w:tc>
          <w:tcPr>
            <w:tcW w:w="313" w:type="dxa"/>
            <w:vMerge/>
          </w:tcPr>
          <w:p w14:paraId="3893B4B6" w14:textId="77777777" w:rsidR="00C563CA" w:rsidRPr="00AF18CF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8"/>
          </w:tcPr>
          <w:p w14:paraId="15887F17" w14:textId="77777777" w:rsidR="00C563CA" w:rsidRPr="00AF18CF" w:rsidRDefault="009436C7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</w:t>
            </w:r>
          </w:p>
        </w:tc>
      </w:tr>
      <w:tr w:rsidR="00926890" w:rsidRPr="00AF18CF" w14:paraId="7FD9DF23" w14:textId="77777777" w:rsidTr="00AF18CF">
        <w:trPr>
          <w:trHeight w:val="1684"/>
        </w:trPr>
        <w:tc>
          <w:tcPr>
            <w:tcW w:w="6096" w:type="dxa"/>
            <w:gridSpan w:val="17"/>
          </w:tcPr>
          <w:p w14:paraId="445A2658" w14:textId="77777777" w:rsidR="00223E7D" w:rsidRDefault="00223E7D" w:rsidP="00825E00">
            <w:pPr>
              <w:ind w:right="17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517DDA34" w14:textId="77777777" w:rsidR="00556A54" w:rsidRPr="0098429A" w:rsidRDefault="00556A54" w:rsidP="00556A54">
            <w:pPr>
              <w:ind w:right="394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98429A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CCINSHAE.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Informe de desempeño MIR E031,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2026</w:t>
            </w:r>
            <w:r w:rsidRPr="00F54A1F"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.</w:t>
            </w:r>
          </w:p>
          <w:p w14:paraId="6428EDBB" w14:textId="77777777" w:rsidR="00926890" w:rsidRPr="00825E00" w:rsidRDefault="00926890" w:rsidP="00825E00">
            <w:pPr>
              <w:tabs>
                <w:tab w:val="num" w:pos="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825E00">
              <w:rPr>
                <w:rFonts w:ascii="Montserrat" w:hAnsi="Montserrat" w:cs="Arial"/>
                <w:bCs/>
                <w:sz w:val="18"/>
                <w:szCs w:val="18"/>
              </w:rPr>
              <w:t>Proporción de consultas de primera vez respecto a preconsultas</w:t>
            </w:r>
          </w:p>
          <w:p w14:paraId="11350DE8" w14:textId="77777777" w:rsidR="009C4529" w:rsidRPr="00825E00" w:rsidRDefault="00CD40B1" w:rsidP="00825E00">
            <w:pPr>
              <w:tabs>
                <w:tab w:val="num" w:pos="0"/>
              </w:tabs>
              <w:ind w:right="175"/>
              <w:rPr>
                <w:rFonts w:ascii="Montserrat" w:hAnsi="Montserrat" w:cs="Arial"/>
                <w:b/>
                <w:bCs/>
                <w:i/>
                <w:sz w:val="18"/>
                <w:szCs w:val="18"/>
              </w:rPr>
            </w:pPr>
            <w:r w:rsidRPr="00825E00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Liga: </w:t>
            </w:r>
            <w:r w:rsidR="009C4529"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https://</w:t>
            </w:r>
            <w:r w:rsidR="004E4469"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ccinshae</w:t>
            </w:r>
            <w:r w:rsidR="009C4529"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.gob.mx/</w:t>
            </w:r>
            <w:r w:rsidR="004E4469"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DCPE/E023</w:t>
            </w:r>
            <w:r w:rsidR="009C4529"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/Proporci</w:t>
            </w:r>
            <w:r w:rsidR="004E4469"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o</w:t>
            </w:r>
            <w:r w:rsidR="009C4529"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n</w:t>
            </w:r>
            <w:r w:rsidR="004E4469"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9C4529"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de</w:t>
            </w:r>
            <w:r w:rsidR="004E4469"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9C4529"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consultas</w:t>
            </w:r>
            <w:r w:rsidR="004E4469"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9C4529"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de</w:t>
            </w:r>
            <w:r w:rsidR="004E4469"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9C4529"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primera</w:t>
            </w:r>
            <w:r w:rsidR="004E4469"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9C4529"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vez</w:t>
            </w:r>
            <w:r w:rsidR="004E4469"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9C4529"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respecto</w:t>
            </w:r>
            <w:r w:rsidR="004E4469"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9C4529"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a</w:t>
            </w:r>
            <w:r w:rsidR="004E4469"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9C4529"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preconsultas</w:t>
            </w:r>
          </w:p>
          <w:p w14:paraId="3B633122" w14:textId="77777777" w:rsidR="00556A54" w:rsidRPr="004F33DF" w:rsidRDefault="00556A54" w:rsidP="00556A54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 xml:space="preserve">Responsable Operativo: 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6760B380" w14:textId="77777777" w:rsidR="00CD40B1" w:rsidRPr="00556A54" w:rsidRDefault="00556A54" w:rsidP="00556A54">
            <w:pPr>
              <w:tabs>
                <w:tab w:val="num" w:pos="0"/>
              </w:tabs>
              <w:ind w:right="394"/>
              <w:rPr>
                <w:rFonts w:ascii="Montserrat" w:hAnsi="Montserrat" w:cs="Arial"/>
                <w:bCs/>
                <w:sz w:val="19"/>
                <w:szCs w:val="19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>Responsable Directivo:</w:t>
            </w:r>
            <w:r w:rsidRPr="00180F9B">
              <w:rPr>
                <w:rFonts w:ascii="Montserrat" w:hAnsi="Montserrat" w:cs="Arial"/>
                <w:bCs/>
                <w:sz w:val="19"/>
                <w:szCs w:val="19"/>
              </w:rPr>
              <w:t xml:space="preserve"> 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>Dr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a. Marta Zapata Tarrés</w:t>
            </w:r>
          </w:p>
        </w:tc>
        <w:tc>
          <w:tcPr>
            <w:tcW w:w="313" w:type="dxa"/>
            <w:vMerge/>
          </w:tcPr>
          <w:p w14:paraId="03D320A7" w14:textId="77777777" w:rsidR="00926890" w:rsidRPr="00AF18CF" w:rsidRDefault="00926890" w:rsidP="00926890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8"/>
          </w:tcPr>
          <w:p w14:paraId="55985067" w14:textId="77777777" w:rsidR="00926890" w:rsidRPr="00AF18CF" w:rsidRDefault="00926890" w:rsidP="00926890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4F515FED" w14:textId="77777777" w:rsidR="00926890" w:rsidRPr="00AF18CF" w:rsidRDefault="00926890" w:rsidP="00926890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Consulta</w:t>
            </w:r>
          </w:p>
        </w:tc>
      </w:tr>
      <w:tr w:rsidR="00926890" w:rsidRPr="00AF18CF" w14:paraId="3FEDE7BA" w14:textId="77777777" w:rsidTr="00AF18CF">
        <w:trPr>
          <w:trHeight w:val="1694"/>
        </w:trPr>
        <w:tc>
          <w:tcPr>
            <w:tcW w:w="6096" w:type="dxa"/>
            <w:gridSpan w:val="17"/>
          </w:tcPr>
          <w:p w14:paraId="64522BF6" w14:textId="77777777" w:rsidR="00223E7D" w:rsidRDefault="00223E7D" w:rsidP="00825E00">
            <w:pPr>
              <w:ind w:right="175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3F6D6C16" w14:textId="77777777" w:rsidR="00556A54" w:rsidRPr="0098429A" w:rsidRDefault="00556A54" w:rsidP="00556A54">
            <w:pPr>
              <w:ind w:right="394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98429A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CCINSHAE.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Informe de desempeño MIR E031,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2026</w:t>
            </w:r>
            <w:r w:rsidRPr="00F54A1F"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.</w:t>
            </w:r>
          </w:p>
          <w:p w14:paraId="63D85B29" w14:textId="77777777" w:rsidR="00926890" w:rsidRPr="00825E00" w:rsidRDefault="00926890" w:rsidP="00825E00">
            <w:pPr>
              <w:tabs>
                <w:tab w:val="num" w:pos="0"/>
              </w:tabs>
              <w:ind w:right="175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825E00">
              <w:rPr>
                <w:rFonts w:ascii="Montserrat" w:hAnsi="Montserrat" w:cs="Arial"/>
                <w:bCs/>
                <w:sz w:val="18"/>
                <w:szCs w:val="18"/>
              </w:rPr>
              <w:t>Proporción de consultas de primera vez respecto a preconsultas</w:t>
            </w:r>
          </w:p>
          <w:p w14:paraId="7E2E258F" w14:textId="77777777" w:rsidR="003274B1" w:rsidRPr="00825E00" w:rsidRDefault="003274B1" w:rsidP="00825E00">
            <w:pPr>
              <w:tabs>
                <w:tab w:val="num" w:pos="0"/>
              </w:tabs>
              <w:ind w:right="175"/>
              <w:rPr>
                <w:rFonts w:ascii="Montserrat" w:hAnsi="Montserrat" w:cs="Arial"/>
                <w:b/>
                <w:bCs/>
                <w:i/>
                <w:sz w:val="18"/>
                <w:szCs w:val="18"/>
              </w:rPr>
            </w:pPr>
            <w:r w:rsidRPr="00825E00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Liga: </w:t>
            </w:r>
            <w:r w:rsidRPr="00825E00">
              <w:rPr>
                <w:rFonts w:ascii="Montserrat" w:hAnsi="Montserrat" w:cs="Arial"/>
                <w:bCs/>
                <w:i/>
                <w:sz w:val="18"/>
                <w:szCs w:val="18"/>
              </w:rPr>
              <w:t>https://ccinshae.gob.mx/DCPE/E023/Proporcion_de_consultas_de_primera_vez_respecto_a_preconsultas</w:t>
            </w:r>
          </w:p>
          <w:p w14:paraId="4B63CDD8" w14:textId="77777777" w:rsidR="00556A54" w:rsidRPr="004F33DF" w:rsidRDefault="00556A54" w:rsidP="00556A54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 xml:space="preserve">Responsable Operativo: 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4EDCAAB7" w14:textId="77777777" w:rsidR="00CD40B1" w:rsidRPr="00556A54" w:rsidRDefault="00556A54" w:rsidP="00556A54">
            <w:pPr>
              <w:tabs>
                <w:tab w:val="num" w:pos="0"/>
              </w:tabs>
              <w:ind w:right="394"/>
              <w:rPr>
                <w:rFonts w:ascii="Montserrat" w:hAnsi="Montserrat" w:cs="Arial"/>
                <w:bCs/>
                <w:sz w:val="19"/>
                <w:szCs w:val="19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>Responsable Directivo:</w:t>
            </w:r>
            <w:r w:rsidRPr="00180F9B">
              <w:rPr>
                <w:rFonts w:ascii="Montserrat" w:hAnsi="Montserrat" w:cs="Arial"/>
                <w:bCs/>
                <w:sz w:val="19"/>
                <w:szCs w:val="19"/>
              </w:rPr>
              <w:t xml:space="preserve"> 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>Dr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a. Marta Zapata Tarrés</w:t>
            </w:r>
          </w:p>
        </w:tc>
        <w:tc>
          <w:tcPr>
            <w:tcW w:w="313" w:type="dxa"/>
            <w:vMerge/>
          </w:tcPr>
          <w:p w14:paraId="028E00C1" w14:textId="77777777" w:rsidR="00926890" w:rsidRPr="00AF18CF" w:rsidRDefault="00926890" w:rsidP="00926890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8"/>
          </w:tcPr>
          <w:p w14:paraId="1CBFB086" w14:textId="77777777" w:rsidR="00926890" w:rsidRPr="00AF18CF" w:rsidRDefault="00926890" w:rsidP="00926890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00E3D84E" w14:textId="77777777" w:rsidR="00926890" w:rsidRPr="00AF18CF" w:rsidRDefault="00926890" w:rsidP="00926890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Consulta</w:t>
            </w:r>
          </w:p>
        </w:tc>
      </w:tr>
      <w:tr w:rsidR="005A2A60" w:rsidRPr="00AF18CF" w14:paraId="07BA8FBA" w14:textId="77777777" w:rsidTr="00AF18CF">
        <w:trPr>
          <w:trHeight w:val="483"/>
        </w:trPr>
        <w:tc>
          <w:tcPr>
            <w:tcW w:w="6096" w:type="dxa"/>
            <w:gridSpan w:val="17"/>
          </w:tcPr>
          <w:p w14:paraId="24DF97AD" w14:textId="77777777" w:rsidR="005A2A60" w:rsidRPr="00825E00" w:rsidRDefault="005A2A60" w:rsidP="00825E00">
            <w:pPr>
              <w:tabs>
                <w:tab w:val="num" w:pos="540"/>
              </w:tabs>
              <w:ind w:left="540" w:right="175" w:hanging="54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825E00">
              <w:rPr>
                <w:rFonts w:ascii="Montserrat" w:hAnsi="Montserrat" w:cs="Arial"/>
                <w:b/>
                <w:bCs/>
                <w:sz w:val="18"/>
                <w:szCs w:val="18"/>
              </w:rPr>
              <w:t>Desagregación geográfica</w:t>
            </w:r>
          </w:p>
          <w:p w14:paraId="30CA8344" w14:textId="77777777" w:rsidR="005A2A60" w:rsidRPr="00825E00" w:rsidRDefault="005A2A60" w:rsidP="00825E00">
            <w:pPr>
              <w:tabs>
                <w:tab w:val="num" w:pos="540"/>
              </w:tabs>
              <w:ind w:left="540" w:right="175" w:hanging="5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825E00">
              <w:rPr>
                <w:rFonts w:ascii="Montserrat" w:hAnsi="Montserrat" w:cs="Arial"/>
                <w:bCs/>
                <w:sz w:val="18"/>
                <w:szCs w:val="18"/>
              </w:rPr>
              <w:t>Nacional (Cobertura del programa)</w:t>
            </w:r>
          </w:p>
        </w:tc>
        <w:tc>
          <w:tcPr>
            <w:tcW w:w="313" w:type="dxa"/>
            <w:vMerge/>
          </w:tcPr>
          <w:p w14:paraId="641AA31D" w14:textId="77777777" w:rsidR="005A2A60" w:rsidRPr="00AF18CF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8"/>
          </w:tcPr>
          <w:p w14:paraId="6CF08073" w14:textId="77777777" w:rsidR="005A2A60" w:rsidRPr="00AF18CF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</w:t>
            </w:r>
          </w:p>
          <w:p w14:paraId="617CB1B6" w14:textId="77777777" w:rsidR="005A2A60" w:rsidRPr="00AF18CF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>Trimestral</w:t>
            </w:r>
          </w:p>
        </w:tc>
      </w:tr>
      <w:tr w:rsidR="005A2A60" w:rsidRPr="00AF18CF" w14:paraId="527403D7" w14:textId="77777777" w:rsidTr="00AF18CF">
        <w:trPr>
          <w:trHeight w:val="483"/>
        </w:trPr>
        <w:tc>
          <w:tcPr>
            <w:tcW w:w="6096" w:type="dxa"/>
            <w:gridSpan w:val="17"/>
          </w:tcPr>
          <w:p w14:paraId="1B2888AC" w14:textId="77777777" w:rsidR="005A2A60" w:rsidRPr="00825E00" w:rsidRDefault="005A2A60" w:rsidP="00825E00">
            <w:pPr>
              <w:tabs>
                <w:tab w:val="num" w:pos="540"/>
              </w:tabs>
              <w:ind w:left="540" w:right="175" w:hanging="54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825E00">
              <w:rPr>
                <w:rFonts w:ascii="Montserrat" w:hAnsi="Montserrat" w:cs="Arial"/>
                <w:b/>
                <w:bCs/>
                <w:sz w:val="18"/>
                <w:szCs w:val="18"/>
              </w:rPr>
              <w:t>Método de recopilación de datos</w:t>
            </w:r>
          </w:p>
          <w:p w14:paraId="7D0FE780" w14:textId="77777777" w:rsidR="005A2A60" w:rsidRPr="00825E00" w:rsidRDefault="005A2A60" w:rsidP="00825E00">
            <w:pPr>
              <w:tabs>
                <w:tab w:val="num" w:pos="540"/>
              </w:tabs>
              <w:ind w:left="540" w:right="175" w:hanging="54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825E00">
              <w:rPr>
                <w:rFonts w:ascii="Montserrat" w:hAnsi="Montserrat" w:cs="Arial"/>
                <w:bCs/>
                <w:sz w:val="18"/>
                <w:szCs w:val="18"/>
              </w:rPr>
              <w:t>Explotación de registro administrativo</w:t>
            </w:r>
          </w:p>
        </w:tc>
        <w:tc>
          <w:tcPr>
            <w:tcW w:w="313" w:type="dxa"/>
            <w:vMerge/>
          </w:tcPr>
          <w:p w14:paraId="66312278" w14:textId="77777777" w:rsidR="005A2A60" w:rsidRPr="00AF18CF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8"/>
          </w:tcPr>
          <w:p w14:paraId="060430EF" w14:textId="77777777" w:rsidR="005A2A60" w:rsidRPr="00AF18CF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Fecha de disponibilidad de información</w:t>
            </w:r>
          </w:p>
          <w:p w14:paraId="69D60468" w14:textId="77777777" w:rsidR="005A2A60" w:rsidRPr="00AF18CF" w:rsidRDefault="00887CD6" w:rsidP="00887CD6">
            <w:pPr>
              <w:rPr>
                <w:rFonts w:ascii="Montserrat" w:hAnsi="Montserrat" w:cs="Arial"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sz w:val="20"/>
                <w:szCs w:val="20"/>
              </w:rPr>
              <w:t xml:space="preserve">Marzo </w:t>
            </w:r>
            <w:r w:rsidRPr="00A60F0F">
              <w:rPr>
                <w:rFonts w:ascii="Montserrat" w:hAnsi="Montserrat" w:cs="Arial"/>
                <w:sz w:val="20"/>
                <w:szCs w:val="20"/>
                <w:highlight w:val="cyan"/>
              </w:rPr>
              <w:t>202</w:t>
            </w:r>
            <w:r w:rsidR="00D3247F">
              <w:rPr>
                <w:rFonts w:ascii="Montserrat" w:hAnsi="Montserrat" w:cs="Arial"/>
                <w:sz w:val="20"/>
                <w:szCs w:val="20"/>
                <w:highlight w:val="cyan"/>
              </w:rPr>
              <w:t>7</w:t>
            </w:r>
            <w:r w:rsidR="005A2A60" w:rsidRPr="00AF18CF">
              <w:rPr>
                <w:rFonts w:ascii="Montserrat" w:hAnsi="Montserrat" w:cs="Arial"/>
                <w:sz w:val="20"/>
                <w:szCs w:val="20"/>
              </w:rPr>
              <w:t xml:space="preserve"> (Definitivo</w:t>
            </w:r>
            <w:r w:rsidR="005A2A60" w:rsidRPr="002B12A4">
              <w:rPr>
                <w:rFonts w:ascii="Montserrat" w:hAnsi="Montserrat" w:cs="Arial"/>
                <w:sz w:val="20"/>
                <w:szCs w:val="20"/>
              </w:rPr>
              <w:t>)</w:t>
            </w:r>
          </w:p>
        </w:tc>
      </w:tr>
      <w:tr w:rsidR="005A2A60" w:rsidRPr="00AF18CF" w14:paraId="4AC584B3" w14:textId="77777777" w:rsidTr="00AF18CF">
        <w:trPr>
          <w:trHeight w:val="274"/>
        </w:trPr>
        <w:tc>
          <w:tcPr>
            <w:tcW w:w="11908" w:type="dxa"/>
            <w:gridSpan w:val="26"/>
            <w:shd w:val="clear" w:color="auto" w:fill="C00000"/>
          </w:tcPr>
          <w:p w14:paraId="47C424D3" w14:textId="77777777" w:rsidR="005A2A60" w:rsidRPr="00AF18CF" w:rsidRDefault="005A2A60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6. Referencias adicionales</w:t>
            </w:r>
          </w:p>
        </w:tc>
      </w:tr>
      <w:tr w:rsidR="005A2A60" w:rsidRPr="00AF18CF" w14:paraId="148B3531" w14:textId="77777777" w:rsidTr="00AF18CF">
        <w:trPr>
          <w:trHeight w:val="216"/>
        </w:trPr>
        <w:tc>
          <w:tcPr>
            <w:tcW w:w="4253" w:type="dxa"/>
            <w:gridSpan w:val="7"/>
          </w:tcPr>
          <w:p w14:paraId="16809CE6" w14:textId="77777777" w:rsidR="005A2A60" w:rsidRPr="00AF18CF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Referencia internacional</w:t>
            </w:r>
          </w:p>
        </w:tc>
        <w:tc>
          <w:tcPr>
            <w:tcW w:w="236" w:type="dxa"/>
            <w:vMerge w:val="restart"/>
          </w:tcPr>
          <w:p w14:paraId="5F0FDD2C" w14:textId="77777777" w:rsidR="005A2A60" w:rsidRPr="00AF18CF" w:rsidRDefault="005A2A60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419" w:type="dxa"/>
            <w:gridSpan w:val="18"/>
          </w:tcPr>
          <w:p w14:paraId="7EA4D4F8" w14:textId="77777777" w:rsidR="005A2A60" w:rsidRPr="00AF18CF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Serie estadística</w:t>
            </w:r>
          </w:p>
        </w:tc>
      </w:tr>
      <w:tr w:rsidR="005A2A60" w:rsidRPr="00AF18CF" w14:paraId="5A2F64E5" w14:textId="77777777" w:rsidTr="00AF18CF">
        <w:trPr>
          <w:trHeight w:val="269"/>
        </w:trPr>
        <w:tc>
          <w:tcPr>
            <w:tcW w:w="4253" w:type="dxa"/>
            <w:gridSpan w:val="7"/>
          </w:tcPr>
          <w:p w14:paraId="3B845F75" w14:textId="77777777" w:rsidR="005A2A60" w:rsidRPr="00AF18CF" w:rsidRDefault="005A2A60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04EF05B" w14:textId="77777777" w:rsidR="005A2A60" w:rsidRPr="00AF18CF" w:rsidRDefault="005A2A60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419" w:type="dxa"/>
            <w:gridSpan w:val="18"/>
          </w:tcPr>
          <w:p w14:paraId="4F67BFA1" w14:textId="77777777" w:rsidR="005A2A60" w:rsidRPr="00AF18CF" w:rsidRDefault="005A2A60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5A2A60" w:rsidRPr="00AF18CF" w14:paraId="645F9EC8" w14:textId="77777777" w:rsidTr="00AF18CF">
        <w:trPr>
          <w:trHeight w:val="274"/>
        </w:trPr>
        <w:tc>
          <w:tcPr>
            <w:tcW w:w="11908" w:type="dxa"/>
            <w:gridSpan w:val="26"/>
          </w:tcPr>
          <w:p w14:paraId="673E8420" w14:textId="77777777" w:rsidR="005A2A60" w:rsidRPr="00AF18CF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Gráfica del comportamiento del indicador</w:t>
            </w:r>
          </w:p>
        </w:tc>
      </w:tr>
      <w:tr w:rsidR="005A2A60" w:rsidRPr="00AF18CF" w14:paraId="2181448C" w14:textId="77777777" w:rsidTr="00AF18CF">
        <w:trPr>
          <w:trHeight w:val="274"/>
        </w:trPr>
        <w:tc>
          <w:tcPr>
            <w:tcW w:w="11908" w:type="dxa"/>
            <w:gridSpan w:val="26"/>
          </w:tcPr>
          <w:p w14:paraId="435B52B8" w14:textId="77777777" w:rsidR="005A2A60" w:rsidRPr="00AF18CF" w:rsidRDefault="005A2A60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5A2A60" w:rsidRPr="00AF18CF" w14:paraId="721B350C" w14:textId="77777777" w:rsidTr="00AF18CF">
        <w:trPr>
          <w:trHeight w:val="274"/>
        </w:trPr>
        <w:tc>
          <w:tcPr>
            <w:tcW w:w="11908" w:type="dxa"/>
            <w:gridSpan w:val="26"/>
            <w:shd w:val="clear" w:color="auto" w:fill="C00000"/>
          </w:tcPr>
          <w:p w14:paraId="772F7151" w14:textId="77777777" w:rsidR="005A2A60" w:rsidRPr="00AF18CF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Comentarios técnicos</w:t>
            </w:r>
          </w:p>
        </w:tc>
      </w:tr>
      <w:tr w:rsidR="005A2A60" w:rsidRPr="00AF18CF" w14:paraId="3501E5C4" w14:textId="77777777" w:rsidTr="00AF18CF">
        <w:trPr>
          <w:trHeight w:val="274"/>
        </w:trPr>
        <w:tc>
          <w:tcPr>
            <w:tcW w:w="11908" w:type="dxa"/>
            <w:gridSpan w:val="26"/>
          </w:tcPr>
          <w:p w14:paraId="18CEFAAF" w14:textId="77777777" w:rsidR="008E3388" w:rsidRPr="008E3388" w:rsidRDefault="008E3388" w:rsidP="008E3388">
            <w:pPr>
              <w:ind w:left="360" w:right="175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773BFA6" w14:textId="77777777" w:rsidR="005B3173" w:rsidRPr="00825E00" w:rsidRDefault="005B3173" w:rsidP="008E3388">
            <w:pPr>
              <w:pStyle w:val="Prrafodelista"/>
              <w:numPr>
                <w:ilvl w:val="0"/>
                <w:numId w:val="7"/>
              </w:numPr>
              <w:tabs>
                <w:tab w:val="clear" w:pos="720"/>
              </w:tabs>
              <w:ind w:left="601" w:right="175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25E00">
              <w:rPr>
                <w:rFonts w:ascii="Montserrat" w:hAnsi="Montserrat" w:cs="Arial"/>
                <w:bCs/>
                <w:sz w:val="20"/>
                <w:szCs w:val="20"/>
              </w:rPr>
              <w:t>Este indicador refleja el número de personas que fueron incorporados como pacientes a la institución respecto al total de preconsultas o valoraciones realizadas en forma previa.</w:t>
            </w:r>
          </w:p>
          <w:p w14:paraId="0E8C265D" w14:textId="77777777" w:rsidR="005B3173" w:rsidRPr="00AF18CF" w:rsidRDefault="005B3173" w:rsidP="008E3388">
            <w:pPr>
              <w:ind w:left="601" w:right="175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31A87635" w14:textId="77777777" w:rsidR="00023FD7" w:rsidRPr="00825E00" w:rsidRDefault="00023FD7" w:rsidP="008E3388">
            <w:pPr>
              <w:pStyle w:val="Prrafodelista"/>
              <w:numPr>
                <w:ilvl w:val="0"/>
                <w:numId w:val="7"/>
              </w:numPr>
              <w:tabs>
                <w:tab w:val="clear" w:pos="720"/>
              </w:tabs>
              <w:ind w:left="601" w:right="175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25E00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La </w:t>
            </w:r>
            <w:r w:rsidR="00AF18CF" w:rsidRPr="00825E00">
              <w:rPr>
                <w:rFonts w:ascii="Montserrat" w:hAnsi="Montserrat" w:cs="Arial"/>
                <w:b/>
                <w:bCs/>
                <w:sz w:val="20"/>
                <w:szCs w:val="20"/>
              </w:rPr>
              <w:t>preconsulta</w:t>
            </w:r>
            <w:r w:rsidRPr="00825E00">
              <w:rPr>
                <w:rFonts w:ascii="Montserrat" w:hAnsi="Montserrat" w:cs="Arial"/>
                <w:bCs/>
                <w:sz w:val="20"/>
                <w:szCs w:val="20"/>
              </w:rPr>
              <w:t xml:space="preserve"> es la actividad de consulta externa mediante la cual se realiza la valoración inicial de </w:t>
            </w:r>
            <w:r w:rsidR="00720600" w:rsidRPr="00825E00">
              <w:rPr>
                <w:rFonts w:ascii="Montserrat" w:hAnsi="Montserrat" w:cs="Arial"/>
                <w:bCs/>
                <w:sz w:val="20"/>
                <w:szCs w:val="20"/>
              </w:rPr>
              <w:t>l</w:t>
            </w:r>
            <w:r w:rsidR="00720600">
              <w:rPr>
                <w:rFonts w:ascii="Montserrat" w:hAnsi="Montserrat" w:cs="Arial"/>
                <w:bCs/>
                <w:sz w:val="20"/>
                <w:szCs w:val="20"/>
              </w:rPr>
              <w:t>a</w:t>
            </w:r>
            <w:r w:rsidR="00720600" w:rsidRPr="00825E00">
              <w:rPr>
                <w:rFonts w:ascii="Montserrat" w:hAnsi="Montserrat" w:cs="Arial"/>
                <w:bCs/>
                <w:sz w:val="20"/>
                <w:szCs w:val="20"/>
              </w:rPr>
              <w:t>s p</w:t>
            </w:r>
            <w:r w:rsidR="00720600">
              <w:rPr>
                <w:rFonts w:ascii="Montserrat" w:hAnsi="Montserrat" w:cs="Arial"/>
                <w:bCs/>
                <w:sz w:val="20"/>
                <w:szCs w:val="20"/>
              </w:rPr>
              <w:t>ersona</w:t>
            </w:r>
            <w:r w:rsidR="00720600" w:rsidRPr="00825E00">
              <w:rPr>
                <w:rFonts w:ascii="Montserrat" w:hAnsi="Montserrat" w:cs="Arial"/>
                <w:bCs/>
                <w:sz w:val="20"/>
                <w:szCs w:val="20"/>
              </w:rPr>
              <w:t xml:space="preserve">s </w:t>
            </w:r>
            <w:r w:rsidRPr="00825E00">
              <w:rPr>
                <w:rFonts w:ascii="Montserrat" w:hAnsi="Montserrat" w:cs="Arial"/>
                <w:bCs/>
                <w:sz w:val="20"/>
                <w:szCs w:val="20"/>
              </w:rPr>
              <w:t>que acuden a solicitar atención médica, que de acuerdo a la vocación o cartera de servicios se les aceptará como pacientes en la institución.</w:t>
            </w:r>
          </w:p>
          <w:p w14:paraId="26CBA07A" w14:textId="77777777" w:rsidR="00C77FD8" w:rsidRPr="00AF18CF" w:rsidRDefault="00C77FD8" w:rsidP="00825E00">
            <w:pPr>
              <w:ind w:left="176" w:right="175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CD83E43" w14:textId="77777777" w:rsidR="00392358" w:rsidRPr="00AF18CF" w:rsidRDefault="00392358" w:rsidP="00825E00">
            <w:pPr>
              <w:ind w:left="176" w:right="175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/>
                <w:bCs/>
                <w:sz w:val="20"/>
                <w:szCs w:val="20"/>
              </w:rPr>
              <w:t>La consulta de primera vez</w:t>
            </w: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es aquella en el que se apertura el expediente clínico al paciente valorado.</w:t>
            </w:r>
            <w:r w:rsidR="00023FD7"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  <w:p w14:paraId="3ED9774B" w14:textId="77777777" w:rsidR="00392358" w:rsidRPr="00AF18CF" w:rsidRDefault="00392358" w:rsidP="00825E00">
            <w:pPr>
              <w:tabs>
                <w:tab w:val="num" w:pos="540"/>
              </w:tabs>
              <w:ind w:left="176" w:right="175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37C241E7" w14:textId="77777777" w:rsidR="008E3388" w:rsidRDefault="005B3173" w:rsidP="00825E00">
            <w:pPr>
              <w:tabs>
                <w:tab w:val="num" w:pos="540"/>
              </w:tabs>
              <w:ind w:left="176" w:right="175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Es importante definir que n</w:t>
            </w:r>
            <w:r w:rsidR="00392358"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o se refiere a primera vez en un servicio, 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sino </w:t>
            </w:r>
            <w:r w:rsidR="00034B49">
              <w:rPr>
                <w:rFonts w:ascii="Montserrat" w:hAnsi="Montserrat" w:cs="Arial"/>
                <w:bCs/>
                <w:sz w:val="20"/>
                <w:szCs w:val="20"/>
              </w:rPr>
              <w:t>a primera vez en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 la institución por lo cual, la primera vez en otro servicio de la misma institución </w:t>
            </w:r>
            <w:r w:rsidR="00392358" w:rsidRPr="00AF18CF">
              <w:rPr>
                <w:rFonts w:ascii="Montserrat" w:hAnsi="Montserrat" w:cs="Arial"/>
                <w:bCs/>
                <w:sz w:val="20"/>
                <w:szCs w:val="20"/>
              </w:rPr>
              <w:t>se debe considerar como consulta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392358" w:rsidRPr="00AF18CF">
              <w:rPr>
                <w:rFonts w:ascii="Montserrat" w:hAnsi="Montserrat" w:cs="Arial"/>
                <w:bCs/>
                <w:sz w:val="20"/>
                <w:szCs w:val="20"/>
              </w:rPr>
              <w:t>subsecuente.</w:t>
            </w:r>
          </w:p>
          <w:p w14:paraId="32670399" w14:textId="77777777" w:rsidR="005A2A60" w:rsidRPr="00AF18CF" w:rsidRDefault="00392358" w:rsidP="00825E00">
            <w:pPr>
              <w:tabs>
                <w:tab w:val="num" w:pos="540"/>
              </w:tabs>
              <w:ind w:left="176" w:right="175"/>
              <w:jc w:val="both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AF18CF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24D85A3C" w14:textId="77777777" w:rsidR="00E92259" w:rsidRPr="00AF18CF" w:rsidRDefault="00E92259" w:rsidP="004E399E">
      <w:pPr>
        <w:rPr>
          <w:rFonts w:ascii="Montserrat" w:hAnsi="Montserrat"/>
        </w:rPr>
      </w:pPr>
    </w:p>
    <w:sectPr w:rsidR="00E92259" w:rsidRPr="00AF18CF" w:rsidSect="0002565E">
      <w:pgSz w:w="12240" w:h="15840"/>
      <w:pgMar w:top="1077" w:right="170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5271"/>
    <w:multiLevelType w:val="hybridMultilevel"/>
    <w:tmpl w:val="F79E061E"/>
    <w:lvl w:ilvl="0" w:tplc="EC1A4BF2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7CA31CD"/>
    <w:multiLevelType w:val="hybridMultilevel"/>
    <w:tmpl w:val="4F40A878"/>
    <w:lvl w:ilvl="0" w:tplc="FBFC854C">
      <w:start w:val="1"/>
      <w:numFmt w:val="lowerRoman"/>
      <w:lvlText w:val="%1)"/>
      <w:lvlJc w:val="left"/>
      <w:pPr>
        <w:ind w:left="17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5" w:hanging="360"/>
      </w:pPr>
    </w:lvl>
    <w:lvl w:ilvl="2" w:tplc="080A001B" w:tentative="1">
      <w:start w:val="1"/>
      <w:numFmt w:val="lowerRoman"/>
      <w:lvlText w:val="%3."/>
      <w:lvlJc w:val="right"/>
      <w:pPr>
        <w:ind w:left="2805" w:hanging="180"/>
      </w:pPr>
    </w:lvl>
    <w:lvl w:ilvl="3" w:tplc="080A000F" w:tentative="1">
      <w:start w:val="1"/>
      <w:numFmt w:val="decimal"/>
      <w:lvlText w:val="%4."/>
      <w:lvlJc w:val="left"/>
      <w:pPr>
        <w:ind w:left="3525" w:hanging="360"/>
      </w:pPr>
    </w:lvl>
    <w:lvl w:ilvl="4" w:tplc="080A0019" w:tentative="1">
      <w:start w:val="1"/>
      <w:numFmt w:val="lowerLetter"/>
      <w:lvlText w:val="%5."/>
      <w:lvlJc w:val="left"/>
      <w:pPr>
        <w:ind w:left="4245" w:hanging="360"/>
      </w:pPr>
    </w:lvl>
    <w:lvl w:ilvl="5" w:tplc="080A001B" w:tentative="1">
      <w:start w:val="1"/>
      <w:numFmt w:val="lowerRoman"/>
      <w:lvlText w:val="%6."/>
      <w:lvlJc w:val="right"/>
      <w:pPr>
        <w:ind w:left="4965" w:hanging="180"/>
      </w:pPr>
    </w:lvl>
    <w:lvl w:ilvl="6" w:tplc="080A000F" w:tentative="1">
      <w:start w:val="1"/>
      <w:numFmt w:val="decimal"/>
      <w:lvlText w:val="%7."/>
      <w:lvlJc w:val="left"/>
      <w:pPr>
        <w:ind w:left="5685" w:hanging="360"/>
      </w:pPr>
    </w:lvl>
    <w:lvl w:ilvl="7" w:tplc="080A0019" w:tentative="1">
      <w:start w:val="1"/>
      <w:numFmt w:val="lowerLetter"/>
      <w:lvlText w:val="%8."/>
      <w:lvlJc w:val="left"/>
      <w:pPr>
        <w:ind w:left="6405" w:hanging="360"/>
      </w:pPr>
    </w:lvl>
    <w:lvl w:ilvl="8" w:tplc="08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4207487E"/>
    <w:multiLevelType w:val="hybridMultilevel"/>
    <w:tmpl w:val="1DBC2334"/>
    <w:lvl w:ilvl="0" w:tplc="36A828D6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4B4F5CE7"/>
    <w:multiLevelType w:val="hybridMultilevel"/>
    <w:tmpl w:val="4524E6F2"/>
    <w:lvl w:ilvl="0" w:tplc="0974EB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C0745"/>
    <w:multiLevelType w:val="hybridMultilevel"/>
    <w:tmpl w:val="D960E16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5061BF"/>
    <w:multiLevelType w:val="hybridMultilevel"/>
    <w:tmpl w:val="D960E16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C719A5"/>
    <w:multiLevelType w:val="hybridMultilevel"/>
    <w:tmpl w:val="B234F0C8"/>
    <w:lvl w:ilvl="0" w:tplc="1B9C6E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766566">
    <w:abstractNumId w:val="5"/>
  </w:num>
  <w:num w:numId="2" w16cid:durableId="534008117">
    <w:abstractNumId w:val="6"/>
  </w:num>
  <w:num w:numId="3" w16cid:durableId="1388143108">
    <w:abstractNumId w:val="0"/>
  </w:num>
  <w:num w:numId="4" w16cid:durableId="86733593">
    <w:abstractNumId w:val="2"/>
  </w:num>
  <w:num w:numId="5" w16cid:durableId="1152254037">
    <w:abstractNumId w:val="1"/>
  </w:num>
  <w:num w:numId="6" w16cid:durableId="329602930">
    <w:abstractNumId w:val="3"/>
  </w:num>
  <w:num w:numId="7" w16cid:durableId="1379628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B8"/>
    <w:rsid w:val="00001C13"/>
    <w:rsid w:val="000036BD"/>
    <w:rsid w:val="00003D29"/>
    <w:rsid w:val="00004C0E"/>
    <w:rsid w:val="000054BA"/>
    <w:rsid w:val="0001024E"/>
    <w:rsid w:val="000131F9"/>
    <w:rsid w:val="00013FE4"/>
    <w:rsid w:val="00014114"/>
    <w:rsid w:val="00014DFC"/>
    <w:rsid w:val="0002007E"/>
    <w:rsid w:val="0002143B"/>
    <w:rsid w:val="00022482"/>
    <w:rsid w:val="00023FD7"/>
    <w:rsid w:val="0002557E"/>
    <w:rsid w:val="0002565E"/>
    <w:rsid w:val="000279B2"/>
    <w:rsid w:val="00032185"/>
    <w:rsid w:val="00032B4A"/>
    <w:rsid w:val="00034B49"/>
    <w:rsid w:val="00035B56"/>
    <w:rsid w:val="000372AE"/>
    <w:rsid w:val="000408FC"/>
    <w:rsid w:val="00042B02"/>
    <w:rsid w:val="00045EEE"/>
    <w:rsid w:val="00053CBB"/>
    <w:rsid w:val="00056194"/>
    <w:rsid w:val="00061691"/>
    <w:rsid w:val="00061D2C"/>
    <w:rsid w:val="00061DD0"/>
    <w:rsid w:val="00065839"/>
    <w:rsid w:val="00065B24"/>
    <w:rsid w:val="0007028B"/>
    <w:rsid w:val="00071FD6"/>
    <w:rsid w:val="0007663E"/>
    <w:rsid w:val="00077663"/>
    <w:rsid w:val="00077D08"/>
    <w:rsid w:val="00082BE4"/>
    <w:rsid w:val="00083114"/>
    <w:rsid w:val="00086F89"/>
    <w:rsid w:val="000950E6"/>
    <w:rsid w:val="000A0702"/>
    <w:rsid w:val="000A24E1"/>
    <w:rsid w:val="000A7F43"/>
    <w:rsid w:val="000B009A"/>
    <w:rsid w:val="000B0F78"/>
    <w:rsid w:val="000B4337"/>
    <w:rsid w:val="000B6523"/>
    <w:rsid w:val="000D0CA2"/>
    <w:rsid w:val="000D13B6"/>
    <w:rsid w:val="000D3ED4"/>
    <w:rsid w:val="000D4D17"/>
    <w:rsid w:val="000D7076"/>
    <w:rsid w:val="000E3BA8"/>
    <w:rsid w:val="000E3CC9"/>
    <w:rsid w:val="000E4B33"/>
    <w:rsid w:val="000E6E6C"/>
    <w:rsid w:val="000E7ADE"/>
    <w:rsid w:val="000F55CE"/>
    <w:rsid w:val="00100AE9"/>
    <w:rsid w:val="00101A58"/>
    <w:rsid w:val="00105D33"/>
    <w:rsid w:val="00120474"/>
    <w:rsid w:val="001244CE"/>
    <w:rsid w:val="00125E79"/>
    <w:rsid w:val="0012611A"/>
    <w:rsid w:val="00134A05"/>
    <w:rsid w:val="0013665B"/>
    <w:rsid w:val="0014722D"/>
    <w:rsid w:val="00151063"/>
    <w:rsid w:val="00153571"/>
    <w:rsid w:val="001540A6"/>
    <w:rsid w:val="001556F9"/>
    <w:rsid w:val="001564BD"/>
    <w:rsid w:val="001644C1"/>
    <w:rsid w:val="001649D5"/>
    <w:rsid w:val="00171218"/>
    <w:rsid w:val="00171537"/>
    <w:rsid w:val="00173BAC"/>
    <w:rsid w:val="001750ED"/>
    <w:rsid w:val="00175BD9"/>
    <w:rsid w:val="0017781A"/>
    <w:rsid w:val="00177917"/>
    <w:rsid w:val="00177F02"/>
    <w:rsid w:val="00190821"/>
    <w:rsid w:val="001946FF"/>
    <w:rsid w:val="001A18C7"/>
    <w:rsid w:val="001A449D"/>
    <w:rsid w:val="001B02EE"/>
    <w:rsid w:val="001B3846"/>
    <w:rsid w:val="001B43D0"/>
    <w:rsid w:val="001B4CA9"/>
    <w:rsid w:val="001C2315"/>
    <w:rsid w:val="001C394E"/>
    <w:rsid w:val="001D0D1B"/>
    <w:rsid w:val="001D103F"/>
    <w:rsid w:val="001D1B0E"/>
    <w:rsid w:val="001D42E4"/>
    <w:rsid w:val="001D528F"/>
    <w:rsid w:val="001D73C0"/>
    <w:rsid w:val="001E0819"/>
    <w:rsid w:val="001E29D2"/>
    <w:rsid w:val="001E2C5C"/>
    <w:rsid w:val="001E5FC8"/>
    <w:rsid w:val="002018B0"/>
    <w:rsid w:val="00202028"/>
    <w:rsid w:val="0020204B"/>
    <w:rsid w:val="00207D7D"/>
    <w:rsid w:val="00214861"/>
    <w:rsid w:val="00215E4E"/>
    <w:rsid w:val="002173FA"/>
    <w:rsid w:val="00221EB1"/>
    <w:rsid w:val="00222EDA"/>
    <w:rsid w:val="00223E7D"/>
    <w:rsid w:val="002273E7"/>
    <w:rsid w:val="00227A93"/>
    <w:rsid w:val="00231092"/>
    <w:rsid w:val="00232F6F"/>
    <w:rsid w:val="00235966"/>
    <w:rsid w:val="00236244"/>
    <w:rsid w:val="00241EBA"/>
    <w:rsid w:val="002421BF"/>
    <w:rsid w:val="00243286"/>
    <w:rsid w:val="00247038"/>
    <w:rsid w:val="002559CF"/>
    <w:rsid w:val="00256A6C"/>
    <w:rsid w:val="002579FC"/>
    <w:rsid w:val="00264599"/>
    <w:rsid w:val="00264DD5"/>
    <w:rsid w:val="0026713E"/>
    <w:rsid w:val="00270110"/>
    <w:rsid w:val="00272E74"/>
    <w:rsid w:val="002763B1"/>
    <w:rsid w:val="0028088C"/>
    <w:rsid w:val="0028290D"/>
    <w:rsid w:val="00284C01"/>
    <w:rsid w:val="00290AFC"/>
    <w:rsid w:val="002A5657"/>
    <w:rsid w:val="002B12A4"/>
    <w:rsid w:val="002B1767"/>
    <w:rsid w:val="002B466F"/>
    <w:rsid w:val="002B5700"/>
    <w:rsid w:val="002B5933"/>
    <w:rsid w:val="002C102A"/>
    <w:rsid w:val="002C7412"/>
    <w:rsid w:val="002D0729"/>
    <w:rsid w:val="002E0C63"/>
    <w:rsid w:val="002E5808"/>
    <w:rsid w:val="002E5CAC"/>
    <w:rsid w:val="002F3AFA"/>
    <w:rsid w:val="002F3E7B"/>
    <w:rsid w:val="003068AC"/>
    <w:rsid w:val="00310CD4"/>
    <w:rsid w:val="00311948"/>
    <w:rsid w:val="00311A55"/>
    <w:rsid w:val="00312203"/>
    <w:rsid w:val="00312A92"/>
    <w:rsid w:val="00313F80"/>
    <w:rsid w:val="003151D2"/>
    <w:rsid w:val="0031574C"/>
    <w:rsid w:val="00316DE8"/>
    <w:rsid w:val="003274B1"/>
    <w:rsid w:val="00332A47"/>
    <w:rsid w:val="00337FA8"/>
    <w:rsid w:val="003402DA"/>
    <w:rsid w:val="0034543F"/>
    <w:rsid w:val="00345B2D"/>
    <w:rsid w:val="00353AB9"/>
    <w:rsid w:val="00353BAB"/>
    <w:rsid w:val="00360965"/>
    <w:rsid w:val="00363506"/>
    <w:rsid w:val="00363FC2"/>
    <w:rsid w:val="00364109"/>
    <w:rsid w:val="00364E34"/>
    <w:rsid w:val="003677F6"/>
    <w:rsid w:val="003757E3"/>
    <w:rsid w:val="00377CFE"/>
    <w:rsid w:val="003809B8"/>
    <w:rsid w:val="00383B5E"/>
    <w:rsid w:val="00384C8A"/>
    <w:rsid w:val="00384D6D"/>
    <w:rsid w:val="00392358"/>
    <w:rsid w:val="00392A7D"/>
    <w:rsid w:val="003943F6"/>
    <w:rsid w:val="003A3330"/>
    <w:rsid w:val="003A33C5"/>
    <w:rsid w:val="003B04A2"/>
    <w:rsid w:val="003B1CB0"/>
    <w:rsid w:val="003B2AFA"/>
    <w:rsid w:val="003B7B79"/>
    <w:rsid w:val="003C4381"/>
    <w:rsid w:val="003C4452"/>
    <w:rsid w:val="003C4D77"/>
    <w:rsid w:val="003C5519"/>
    <w:rsid w:val="003D1508"/>
    <w:rsid w:val="003D20D0"/>
    <w:rsid w:val="003D4E64"/>
    <w:rsid w:val="003D6957"/>
    <w:rsid w:val="003D7E92"/>
    <w:rsid w:val="003E4854"/>
    <w:rsid w:val="003E4DA6"/>
    <w:rsid w:val="003E509F"/>
    <w:rsid w:val="003E553B"/>
    <w:rsid w:val="003E58AA"/>
    <w:rsid w:val="003E60DF"/>
    <w:rsid w:val="003F0176"/>
    <w:rsid w:val="003F083A"/>
    <w:rsid w:val="003F15D4"/>
    <w:rsid w:val="003F2712"/>
    <w:rsid w:val="003F61F4"/>
    <w:rsid w:val="003F6E69"/>
    <w:rsid w:val="003F7343"/>
    <w:rsid w:val="00401720"/>
    <w:rsid w:val="004069EA"/>
    <w:rsid w:val="00407C34"/>
    <w:rsid w:val="004216B0"/>
    <w:rsid w:val="00422CF6"/>
    <w:rsid w:val="0042356D"/>
    <w:rsid w:val="00425B45"/>
    <w:rsid w:val="0042747C"/>
    <w:rsid w:val="00427840"/>
    <w:rsid w:val="00432774"/>
    <w:rsid w:val="00433007"/>
    <w:rsid w:val="00433EA6"/>
    <w:rsid w:val="004365B3"/>
    <w:rsid w:val="00437095"/>
    <w:rsid w:val="004420AD"/>
    <w:rsid w:val="004478B6"/>
    <w:rsid w:val="0045011D"/>
    <w:rsid w:val="00451444"/>
    <w:rsid w:val="0045632E"/>
    <w:rsid w:val="00462B57"/>
    <w:rsid w:val="00467CBF"/>
    <w:rsid w:val="0047109D"/>
    <w:rsid w:val="0047580B"/>
    <w:rsid w:val="00480806"/>
    <w:rsid w:val="004819FB"/>
    <w:rsid w:val="00482C15"/>
    <w:rsid w:val="00485E51"/>
    <w:rsid w:val="004A2728"/>
    <w:rsid w:val="004A573E"/>
    <w:rsid w:val="004B0515"/>
    <w:rsid w:val="004B1AE3"/>
    <w:rsid w:val="004B3B83"/>
    <w:rsid w:val="004B6F7C"/>
    <w:rsid w:val="004B728A"/>
    <w:rsid w:val="004B7F66"/>
    <w:rsid w:val="004C04C3"/>
    <w:rsid w:val="004C1D83"/>
    <w:rsid w:val="004C1FF5"/>
    <w:rsid w:val="004C395A"/>
    <w:rsid w:val="004C3A4B"/>
    <w:rsid w:val="004C5813"/>
    <w:rsid w:val="004D0C29"/>
    <w:rsid w:val="004D11B9"/>
    <w:rsid w:val="004D1379"/>
    <w:rsid w:val="004D57B0"/>
    <w:rsid w:val="004D6969"/>
    <w:rsid w:val="004D7B26"/>
    <w:rsid w:val="004D7BF7"/>
    <w:rsid w:val="004E0C64"/>
    <w:rsid w:val="004E184C"/>
    <w:rsid w:val="004E399E"/>
    <w:rsid w:val="004E4469"/>
    <w:rsid w:val="004E5B50"/>
    <w:rsid w:val="004E7A71"/>
    <w:rsid w:val="004F76A0"/>
    <w:rsid w:val="0050580F"/>
    <w:rsid w:val="005064BD"/>
    <w:rsid w:val="00507431"/>
    <w:rsid w:val="00507DF3"/>
    <w:rsid w:val="00520EC6"/>
    <w:rsid w:val="0052195B"/>
    <w:rsid w:val="00523AB4"/>
    <w:rsid w:val="005269F1"/>
    <w:rsid w:val="0053138B"/>
    <w:rsid w:val="005338DC"/>
    <w:rsid w:val="005339AF"/>
    <w:rsid w:val="00533BC4"/>
    <w:rsid w:val="0053522F"/>
    <w:rsid w:val="00535617"/>
    <w:rsid w:val="00537D7E"/>
    <w:rsid w:val="005411EB"/>
    <w:rsid w:val="00541E9A"/>
    <w:rsid w:val="00542B83"/>
    <w:rsid w:val="005431FF"/>
    <w:rsid w:val="00543204"/>
    <w:rsid w:val="00551C99"/>
    <w:rsid w:val="00555F07"/>
    <w:rsid w:val="00556A54"/>
    <w:rsid w:val="005622EA"/>
    <w:rsid w:val="00565421"/>
    <w:rsid w:val="00570F46"/>
    <w:rsid w:val="00571040"/>
    <w:rsid w:val="00571F91"/>
    <w:rsid w:val="005742BD"/>
    <w:rsid w:val="0058105F"/>
    <w:rsid w:val="005837BE"/>
    <w:rsid w:val="00584B30"/>
    <w:rsid w:val="00586166"/>
    <w:rsid w:val="00590FAF"/>
    <w:rsid w:val="005910EE"/>
    <w:rsid w:val="00592EDA"/>
    <w:rsid w:val="00593062"/>
    <w:rsid w:val="00593811"/>
    <w:rsid w:val="00593CD2"/>
    <w:rsid w:val="005944CA"/>
    <w:rsid w:val="005A2A60"/>
    <w:rsid w:val="005A32B5"/>
    <w:rsid w:val="005A4F4C"/>
    <w:rsid w:val="005A5E81"/>
    <w:rsid w:val="005B15DD"/>
    <w:rsid w:val="005B2796"/>
    <w:rsid w:val="005B2BC6"/>
    <w:rsid w:val="005B3173"/>
    <w:rsid w:val="005B6EB7"/>
    <w:rsid w:val="005C058A"/>
    <w:rsid w:val="005C0D48"/>
    <w:rsid w:val="005C6150"/>
    <w:rsid w:val="005C65AB"/>
    <w:rsid w:val="005C791D"/>
    <w:rsid w:val="005D5390"/>
    <w:rsid w:val="005E0882"/>
    <w:rsid w:val="005E1DD1"/>
    <w:rsid w:val="005E3A24"/>
    <w:rsid w:val="005E4A29"/>
    <w:rsid w:val="005E5760"/>
    <w:rsid w:val="005E5F1B"/>
    <w:rsid w:val="005E6741"/>
    <w:rsid w:val="005E6DE5"/>
    <w:rsid w:val="005F0C81"/>
    <w:rsid w:val="0060108C"/>
    <w:rsid w:val="006017CA"/>
    <w:rsid w:val="00602EDE"/>
    <w:rsid w:val="00605E7F"/>
    <w:rsid w:val="006109E5"/>
    <w:rsid w:val="00615E49"/>
    <w:rsid w:val="00621229"/>
    <w:rsid w:val="0062536F"/>
    <w:rsid w:val="00631EF9"/>
    <w:rsid w:val="00633FD1"/>
    <w:rsid w:val="00641320"/>
    <w:rsid w:val="00641A9F"/>
    <w:rsid w:val="00644E7D"/>
    <w:rsid w:val="00645AEA"/>
    <w:rsid w:val="006465B5"/>
    <w:rsid w:val="00647733"/>
    <w:rsid w:val="00647B16"/>
    <w:rsid w:val="00647C4D"/>
    <w:rsid w:val="00653F03"/>
    <w:rsid w:val="006550D1"/>
    <w:rsid w:val="006552FC"/>
    <w:rsid w:val="006563E1"/>
    <w:rsid w:val="00666D53"/>
    <w:rsid w:val="0067504F"/>
    <w:rsid w:val="0067711F"/>
    <w:rsid w:val="006819BA"/>
    <w:rsid w:val="006825C3"/>
    <w:rsid w:val="00683E6E"/>
    <w:rsid w:val="00685E39"/>
    <w:rsid w:val="006942E2"/>
    <w:rsid w:val="00694E77"/>
    <w:rsid w:val="006962E7"/>
    <w:rsid w:val="00696586"/>
    <w:rsid w:val="00696945"/>
    <w:rsid w:val="006A2596"/>
    <w:rsid w:val="006A32EF"/>
    <w:rsid w:val="006A3587"/>
    <w:rsid w:val="006A4173"/>
    <w:rsid w:val="006A4D6B"/>
    <w:rsid w:val="006A65AE"/>
    <w:rsid w:val="006A6794"/>
    <w:rsid w:val="006A77C7"/>
    <w:rsid w:val="006B199F"/>
    <w:rsid w:val="006B2D8B"/>
    <w:rsid w:val="006B412B"/>
    <w:rsid w:val="006B6146"/>
    <w:rsid w:val="006C075C"/>
    <w:rsid w:val="006C4FCA"/>
    <w:rsid w:val="006C5997"/>
    <w:rsid w:val="006C5D67"/>
    <w:rsid w:val="006C5FCE"/>
    <w:rsid w:val="006C6008"/>
    <w:rsid w:val="006D0643"/>
    <w:rsid w:val="006D6356"/>
    <w:rsid w:val="006D7218"/>
    <w:rsid w:val="006E023E"/>
    <w:rsid w:val="006E5722"/>
    <w:rsid w:val="006E74AD"/>
    <w:rsid w:val="00702FDE"/>
    <w:rsid w:val="00705DAE"/>
    <w:rsid w:val="0071167C"/>
    <w:rsid w:val="007121EF"/>
    <w:rsid w:val="00712663"/>
    <w:rsid w:val="00716263"/>
    <w:rsid w:val="00720600"/>
    <w:rsid w:val="00720F07"/>
    <w:rsid w:val="007251BC"/>
    <w:rsid w:val="00733DB7"/>
    <w:rsid w:val="00734D7D"/>
    <w:rsid w:val="00742DF7"/>
    <w:rsid w:val="00745261"/>
    <w:rsid w:val="0075454A"/>
    <w:rsid w:val="007576DA"/>
    <w:rsid w:val="00760043"/>
    <w:rsid w:val="00760ADC"/>
    <w:rsid w:val="007615B9"/>
    <w:rsid w:val="00763562"/>
    <w:rsid w:val="00771B7A"/>
    <w:rsid w:val="007927F8"/>
    <w:rsid w:val="007933FD"/>
    <w:rsid w:val="00796DA6"/>
    <w:rsid w:val="007A01B3"/>
    <w:rsid w:val="007A05F7"/>
    <w:rsid w:val="007B57ED"/>
    <w:rsid w:val="007C13B1"/>
    <w:rsid w:val="007C201C"/>
    <w:rsid w:val="007C5D8F"/>
    <w:rsid w:val="007D61FE"/>
    <w:rsid w:val="007E4BAB"/>
    <w:rsid w:val="007F269D"/>
    <w:rsid w:val="007F5827"/>
    <w:rsid w:val="007F5A60"/>
    <w:rsid w:val="00802BAE"/>
    <w:rsid w:val="00805572"/>
    <w:rsid w:val="008145DA"/>
    <w:rsid w:val="00814814"/>
    <w:rsid w:val="00814F07"/>
    <w:rsid w:val="0081640E"/>
    <w:rsid w:val="00816DE6"/>
    <w:rsid w:val="008207C0"/>
    <w:rsid w:val="00821921"/>
    <w:rsid w:val="00823181"/>
    <w:rsid w:val="00824C38"/>
    <w:rsid w:val="0082572A"/>
    <w:rsid w:val="00825E00"/>
    <w:rsid w:val="008270D4"/>
    <w:rsid w:val="00832452"/>
    <w:rsid w:val="008325CB"/>
    <w:rsid w:val="00832D2D"/>
    <w:rsid w:val="00845DC8"/>
    <w:rsid w:val="00847169"/>
    <w:rsid w:val="0085068E"/>
    <w:rsid w:val="00852C0A"/>
    <w:rsid w:val="00855A87"/>
    <w:rsid w:val="00856763"/>
    <w:rsid w:val="0085752C"/>
    <w:rsid w:val="0086140F"/>
    <w:rsid w:val="008614CC"/>
    <w:rsid w:val="00861A51"/>
    <w:rsid w:val="00861DF7"/>
    <w:rsid w:val="00864864"/>
    <w:rsid w:val="0087133B"/>
    <w:rsid w:val="00871FFA"/>
    <w:rsid w:val="00874293"/>
    <w:rsid w:val="00876F0F"/>
    <w:rsid w:val="008802A5"/>
    <w:rsid w:val="008825C4"/>
    <w:rsid w:val="00882F96"/>
    <w:rsid w:val="00887CD6"/>
    <w:rsid w:val="00896F72"/>
    <w:rsid w:val="008978F5"/>
    <w:rsid w:val="008A0C7A"/>
    <w:rsid w:val="008A4E1D"/>
    <w:rsid w:val="008B226C"/>
    <w:rsid w:val="008B326D"/>
    <w:rsid w:val="008B68FF"/>
    <w:rsid w:val="008C2DFD"/>
    <w:rsid w:val="008C2E7B"/>
    <w:rsid w:val="008C5E89"/>
    <w:rsid w:val="008D4DF1"/>
    <w:rsid w:val="008E3388"/>
    <w:rsid w:val="008E5155"/>
    <w:rsid w:val="008E5635"/>
    <w:rsid w:val="008E5708"/>
    <w:rsid w:val="008E5A0B"/>
    <w:rsid w:val="008E621A"/>
    <w:rsid w:val="008E69F5"/>
    <w:rsid w:val="008F00EE"/>
    <w:rsid w:val="008F3947"/>
    <w:rsid w:val="008F53A6"/>
    <w:rsid w:val="008F5FDF"/>
    <w:rsid w:val="00901021"/>
    <w:rsid w:val="009013B5"/>
    <w:rsid w:val="009023A5"/>
    <w:rsid w:val="0090351D"/>
    <w:rsid w:val="009056FF"/>
    <w:rsid w:val="009100B8"/>
    <w:rsid w:val="00911057"/>
    <w:rsid w:val="009121DB"/>
    <w:rsid w:val="00926890"/>
    <w:rsid w:val="0092750D"/>
    <w:rsid w:val="00934F0F"/>
    <w:rsid w:val="00935FBB"/>
    <w:rsid w:val="0093624C"/>
    <w:rsid w:val="00936511"/>
    <w:rsid w:val="009436C7"/>
    <w:rsid w:val="009441CA"/>
    <w:rsid w:val="00947ADF"/>
    <w:rsid w:val="0095276D"/>
    <w:rsid w:val="00953CAF"/>
    <w:rsid w:val="00955FE2"/>
    <w:rsid w:val="00957957"/>
    <w:rsid w:val="009606E2"/>
    <w:rsid w:val="00964615"/>
    <w:rsid w:val="00966780"/>
    <w:rsid w:val="00967CCF"/>
    <w:rsid w:val="00970073"/>
    <w:rsid w:val="00971822"/>
    <w:rsid w:val="00973CE3"/>
    <w:rsid w:val="009758C0"/>
    <w:rsid w:val="00977131"/>
    <w:rsid w:val="00984AAE"/>
    <w:rsid w:val="009872CE"/>
    <w:rsid w:val="009905FC"/>
    <w:rsid w:val="00996DCB"/>
    <w:rsid w:val="009A2079"/>
    <w:rsid w:val="009A34AF"/>
    <w:rsid w:val="009A402F"/>
    <w:rsid w:val="009A5742"/>
    <w:rsid w:val="009A62CC"/>
    <w:rsid w:val="009A67A0"/>
    <w:rsid w:val="009A6DAF"/>
    <w:rsid w:val="009B3B3E"/>
    <w:rsid w:val="009C320C"/>
    <w:rsid w:val="009C41D6"/>
    <w:rsid w:val="009C4529"/>
    <w:rsid w:val="009C5C2D"/>
    <w:rsid w:val="009C775E"/>
    <w:rsid w:val="009D1ED8"/>
    <w:rsid w:val="009D528F"/>
    <w:rsid w:val="009E09C4"/>
    <w:rsid w:val="009E1033"/>
    <w:rsid w:val="009E6B06"/>
    <w:rsid w:val="009E752E"/>
    <w:rsid w:val="009F33FD"/>
    <w:rsid w:val="009F3DC9"/>
    <w:rsid w:val="009F3FC1"/>
    <w:rsid w:val="009F607E"/>
    <w:rsid w:val="009F7EE4"/>
    <w:rsid w:val="00A02C2E"/>
    <w:rsid w:val="00A035E8"/>
    <w:rsid w:val="00A046D2"/>
    <w:rsid w:val="00A0685D"/>
    <w:rsid w:val="00A12983"/>
    <w:rsid w:val="00A236D2"/>
    <w:rsid w:val="00A23FBF"/>
    <w:rsid w:val="00A25B4C"/>
    <w:rsid w:val="00A2619E"/>
    <w:rsid w:val="00A27B31"/>
    <w:rsid w:val="00A325D4"/>
    <w:rsid w:val="00A32E6B"/>
    <w:rsid w:val="00A3463A"/>
    <w:rsid w:val="00A408EC"/>
    <w:rsid w:val="00A416A3"/>
    <w:rsid w:val="00A4239C"/>
    <w:rsid w:val="00A46E08"/>
    <w:rsid w:val="00A512C7"/>
    <w:rsid w:val="00A55753"/>
    <w:rsid w:val="00A574B3"/>
    <w:rsid w:val="00A60F0F"/>
    <w:rsid w:val="00A623A4"/>
    <w:rsid w:val="00A66116"/>
    <w:rsid w:val="00A705B7"/>
    <w:rsid w:val="00A711E0"/>
    <w:rsid w:val="00A76209"/>
    <w:rsid w:val="00A77D7E"/>
    <w:rsid w:val="00A80AF2"/>
    <w:rsid w:val="00A821B9"/>
    <w:rsid w:val="00A86270"/>
    <w:rsid w:val="00A865F9"/>
    <w:rsid w:val="00A868C2"/>
    <w:rsid w:val="00A87B2D"/>
    <w:rsid w:val="00A90042"/>
    <w:rsid w:val="00A90D65"/>
    <w:rsid w:val="00A94AFF"/>
    <w:rsid w:val="00A978AF"/>
    <w:rsid w:val="00A97C87"/>
    <w:rsid w:val="00AA05A4"/>
    <w:rsid w:val="00AA62F3"/>
    <w:rsid w:val="00AA719A"/>
    <w:rsid w:val="00AB5ACC"/>
    <w:rsid w:val="00AC367E"/>
    <w:rsid w:val="00AC6F3B"/>
    <w:rsid w:val="00AC78D1"/>
    <w:rsid w:val="00AC7CBB"/>
    <w:rsid w:val="00AD1394"/>
    <w:rsid w:val="00AD2E4A"/>
    <w:rsid w:val="00AD2FC3"/>
    <w:rsid w:val="00AD3E38"/>
    <w:rsid w:val="00AD6809"/>
    <w:rsid w:val="00AE132E"/>
    <w:rsid w:val="00AE3FB0"/>
    <w:rsid w:val="00AE464F"/>
    <w:rsid w:val="00AE4AA0"/>
    <w:rsid w:val="00AE5D6F"/>
    <w:rsid w:val="00AE747A"/>
    <w:rsid w:val="00AE7E7A"/>
    <w:rsid w:val="00AF18CF"/>
    <w:rsid w:val="00AF56A4"/>
    <w:rsid w:val="00AF6AB1"/>
    <w:rsid w:val="00AF7F13"/>
    <w:rsid w:val="00B0152D"/>
    <w:rsid w:val="00B02CA7"/>
    <w:rsid w:val="00B04D09"/>
    <w:rsid w:val="00B0730A"/>
    <w:rsid w:val="00B0743E"/>
    <w:rsid w:val="00B07E7B"/>
    <w:rsid w:val="00B1583E"/>
    <w:rsid w:val="00B25159"/>
    <w:rsid w:val="00B27FB9"/>
    <w:rsid w:val="00B30307"/>
    <w:rsid w:val="00B42541"/>
    <w:rsid w:val="00B436FE"/>
    <w:rsid w:val="00B46C45"/>
    <w:rsid w:val="00B53008"/>
    <w:rsid w:val="00B5461E"/>
    <w:rsid w:val="00B54E71"/>
    <w:rsid w:val="00B55DF5"/>
    <w:rsid w:val="00B561B5"/>
    <w:rsid w:val="00B65107"/>
    <w:rsid w:val="00B708AF"/>
    <w:rsid w:val="00B71E02"/>
    <w:rsid w:val="00B71F22"/>
    <w:rsid w:val="00B74A5D"/>
    <w:rsid w:val="00B7538D"/>
    <w:rsid w:val="00B80F2A"/>
    <w:rsid w:val="00B82EDE"/>
    <w:rsid w:val="00B83A2A"/>
    <w:rsid w:val="00B83D07"/>
    <w:rsid w:val="00B91B4B"/>
    <w:rsid w:val="00B94105"/>
    <w:rsid w:val="00B94295"/>
    <w:rsid w:val="00B9624C"/>
    <w:rsid w:val="00BA33AF"/>
    <w:rsid w:val="00BA5036"/>
    <w:rsid w:val="00BA5F91"/>
    <w:rsid w:val="00BB03A9"/>
    <w:rsid w:val="00BB2AE6"/>
    <w:rsid w:val="00BB5212"/>
    <w:rsid w:val="00BB596B"/>
    <w:rsid w:val="00BB669B"/>
    <w:rsid w:val="00BC23B1"/>
    <w:rsid w:val="00BC2F13"/>
    <w:rsid w:val="00BC45AD"/>
    <w:rsid w:val="00BC577A"/>
    <w:rsid w:val="00BC74F7"/>
    <w:rsid w:val="00BD013E"/>
    <w:rsid w:val="00BD1D89"/>
    <w:rsid w:val="00BD7548"/>
    <w:rsid w:val="00BD7606"/>
    <w:rsid w:val="00BE0AFF"/>
    <w:rsid w:val="00BE13DD"/>
    <w:rsid w:val="00BE211F"/>
    <w:rsid w:val="00BE2ABC"/>
    <w:rsid w:val="00BE361F"/>
    <w:rsid w:val="00BE4756"/>
    <w:rsid w:val="00BE7E62"/>
    <w:rsid w:val="00BF0C45"/>
    <w:rsid w:val="00BF24B5"/>
    <w:rsid w:val="00BF48A4"/>
    <w:rsid w:val="00C00FCA"/>
    <w:rsid w:val="00C02800"/>
    <w:rsid w:val="00C15AEC"/>
    <w:rsid w:val="00C1631E"/>
    <w:rsid w:val="00C22D31"/>
    <w:rsid w:val="00C27E28"/>
    <w:rsid w:val="00C30A77"/>
    <w:rsid w:val="00C33CEA"/>
    <w:rsid w:val="00C36260"/>
    <w:rsid w:val="00C425C1"/>
    <w:rsid w:val="00C5363F"/>
    <w:rsid w:val="00C5442D"/>
    <w:rsid w:val="00C54679"/>
    <w:rsid w:val="00C563CA"/>
    <w:rsid w:val="00C56465"/>
    <w:rsid w:val="00C61694"/>
    <w:rsid w:val="00C61807"/>
    <w:rsid w:val="00C642C2"/>
    <w:rsid w:val="00C71159"/>
    <w:rsid w:val="00C74C81"/>
    <w:rsid w:val="00C75DE1"/>
    <w:rsid w:val="00C77FD8"/>
    <w:rsid w:val="00C80BF4"/>
    <w:rsid w:val="00C824A4"/>
    <w:rsid w:val="00C91434"/>
    <w:rsid w:val="00C92082"/>
    <w:rsid w:val="00C92264"/>
    <w:rsid w:val="00C9487D"/>
    <w:rsid w:val="00C94F69"/>
    <w:rsid w:val="00C95C47"/>
    <w:rsid w:val="00CA17EE"/>
    <w:rsid w:val="00CA1B8C"/>
    <w:rsid w:val="00CA33B3"/>
    <w:rsid w:val="00CB34D0"/>
    <w:rsid w:val="00CB3680"/>
    <w:rsid w:val="00CB5056"/>
    <w:rsid w:val="00CC116B"/>
    <w:rsid w:val="00CC4E7F"/>
    <w:rsid w:val="00CC5086"/>
    <w:rsid w:val="00CC5C2E"/>
    <w:rsid w:val="00CC5F22"/>
    <w:rsid w:val="00CD2EF2"/>
    <w:rsid w:val="00CD40B1"/>
    <w:rsid w:val="00CD50B9"/>
    <w:rsid w:val="00CD51B9"/>
    <w:rsid w:val="00CE2111"/>
    <w:rsid w:val="00CF4CD4"/>
    <w:rsid w:val="00CF7A65"/>
    <w:rsid w:val="00D011DB"/>
    <w:rsid w:val="00D01675"/>
    <w:rsid w:val="00D01A6E"/>
    <w:rsid w:val="00D04B04"/>
    <w:rsid w:val="00D076A7"/>
    <w:rsid w:val="00D11B10"/>
    <w:rsid w:val="00D11D66"/>
    <w:rsid w:val="00D1406F"/>
    <w:rsid w:val="00D17404"/>
    <w:rsid w:val="00D204E1"/>
    <w:rsid w:val="00D27D63"/>
    <w:rsid w:val="00D3247F"/>
    <w:rsid w:val="00D32823"/>
    <w:rsid w:val="00D35D53"/>
    <w:rsid w:val="00D409DD"/>
    <w:rsid w:val="00D43555"/>
    <w:rsid w:val="00D5103F"/>
    <w:rsid w:val="00D51CA2"/>
    <w:rsid w:val="00D52B35"/>
    <w:rsid w:val="00D52C43"/>
    <w:rsid w:val="00D630C3"/>
    <w:rsid w:val="00D73296"/>
    <w:rsid w:val="00D7448C"/>
    <w:rsid w:val="00D76BD4"/>
    <w:rsid w:val="00D80829"/>
    <w:rsid w:val="00D816B6"/>
    <w:rsid w:val="00D82574"/>
    <w:rsid w:val="00D901A0"/>
    <w:rsid w:val="00D96928"/>
    <w:rsid w:val="00D96A92"/>
    <w:rsid w:val="00DA0624"/>
    <w:rsid w:val="00DA0A8A"/>
    <w:rsid w:val="00DA402A"/>
    <w:rsid w:val="00DA7DB5"/>
    <w:rsid w:val="00DB3220"/>
    <w:rsid w:val="00DB7AD7"/>
    <w:rsid w:val="00DC1B9C"/>
    <w:rsid w:val="00DC1BFA"/>
    <w:rsid w:val="00DC27EB"/>
    <w:rsid w:val="00DC4B3E"/>
    <w:rsid w:val="00DC74DA"/>
    <w:rsid w:val="00DD26FF"/>
    <w:rsid w:val="00DD4CC6"/>
    <w:rsid w:val="00DE60D6"/>
    <w:rsid w:val="00E101C7"/>
    <w:rsid w:val="00E10407"/>
    <w:rsid w:val="00E10625"/>
    <w:rsid w:val="00E122D6"/>
    <w:rsid w:val="00E13306"/>
    <w:rsid w:val="00E146AC"/>
    <w:rsid w:val="00E213D5"/>
    <w:rsid w:val="00E23603"/>
    <w:rsid w:val="00E23FD4"/>
    <w:rsid w:val="00E244E3"/>
    <w:rsid w:val="00E32FAF"/>
    <w:rsid w:val="00E45288"/>
    <w:rsid w:val="00E503D3"/>
    <w:rsid w:val="00E52ADB"/>
    <w:rsid w:val="00E5603C"/>
    <w:rsid w:val="00E56C29"/>
    <w:rsid w:val="00E67FE9"/>
    <w:rsid w:val="00E72FB7"/>
    <w:rsid w:val="00E769CC"/>
    <w:rsid w:val="00E7700A"/>
    <w:rsid w:val="00E87793"/>
    <w:rsid w:val="00E903CF"/>
    <w:rsid w:val="00E91EC9"/>
    <w:rsid w:val="00E92259"/>
    <w:rsid w:val="00E923BD"/>
    <w:rsid w:val="00EA0139"/>
    <w:rsid w:val="00EA2EB7"/>
    <w:rsid w:val="00EA5E2E"/>
    <w:rsid w:val="00EA76A9"/>
    <w:rsid w:val="00EA79C6"/>
    <w:rsid w:val="00EA7A84"/>
    <w:rsid w:val="00EC4A40"/>
    <w:rsid w:val="00EC61CF"/>
    <w:rsid w:val="00EC6547"/>
    <w:rsid w:val="00EC793D"/>
    <w:rsid w:val="00ED1BD3"/>
    <w:rsid w:val="00ED23E4"/>
    <w:rsid w:val="00ED2544"/>
    <w:rsid w:val="00ED2E85"/>
    <w:rsid w:val="00ED38E3"/>
    <w:rsid w:val="00ED3F0D"/>
    <w:rsid w:val="00ED5D55"/>
    <w:rsid w:val="00EE47E8"/>
    <w:rsid w:val="00EE5181"/>
    <w:rsid w:val="00EF3C18"/>
    <w:rsid w:val="00EF5391"/>
    <w:rsid w:val="00EF7928"/>
    <w:rsid w:val="00F01C0F"/>
    <w:rsid w:val="00F0278B"/>
    <w:rsid w:val="00F036D0"/>
    <w:rsid w:val="00F04FF2"/>
    <w:rsid w:val="00F10214"/>
    <w:rsid w:val="00F12640"/>
    <w:rsid w:val="00F15464"/>
    <w:rsid w:val="00F17200"/>
    <w:rsid w:val="00F1730C"/>
    <w:rsid w:val="00F278AB"/>
    <w:rsid w:val="00F32AB3"/>
    <w:rsid w:val="00F33E88"/>
    <w:rsid w:val="00F41D9D"/>
    <w:rsid w:val="00F4519B"/>
    <w:rsid w:val="00F47171"/>
    <w:rsid w:val="00F5082C"/>
    <w:rsid w:val="00F56D9B"/>
    <w:rsid w:val="00F57C20"/>
    <w:rsid w:val="00F65747"/>
    <w:rsid w:val="00F66A9A"/>
    <w:rsid w:val="00F7327B"/>
    <w:rsid w:val="00F734D5"/>
    <w:rsid w:val="00F73802"/>
    <w:rsid w:val="00F73A79"/>
    <w:rsid w:val="00F76204"/>
    <w:rsid w:val="00F7637B"/>
    <w:rsid w:val="00F80768"/>
    <w:rsid w:val="00F86E97"/>
    <w:rsid w:val="00F90FE7"/>
    <w:rsid w:val="00F924C7"/>
    <w:rsid w:val="00F96093"/>
    <w:rsid w:val="00F97A24"/>
    <w:rsid w:val="00FA1330"/>
    <w:rsid w:val="00FA1FEA"/>
    <w:rsid w:val="00FA23B4"/>
    <w:rsid w:val="00FA2F64"/>
    <w:rsid w:val="00FA68FB"/>
    <w:rsid w:val="00FB0C8A"/>
    <w:rsid w:val="00FB3835"/>
    <w:rsid w:val="00FB40B2"/>
    <w:rsid w:val="00FB553A"/>
    <w:rsid w:val="00FB65D5"/>
    <w:rsid w:val="00FD265D"/>
    <w:rsid w:val="00FD38B8"/>
    <w:rsid w:val="00FD5281"/>
    <w:rsid w:val="00FE10DA"/>
    <w:rsid w:val="00FE528A"/>
    <w:rsid w:val="00FE7532"/>
    <w:rsid w:val="00FF1BCF"/>
    <w:rsid w:val="00FF321E"/>
    <w:rsid w:val="00FF5334"/>
    <w:rsid w:val="00FF5AE4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BCBE6"/>
  <w15:chartTrackingRefBased/>
  <w15:docId w15:val="{938D9990-3461-4407-8045-04F1DE16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5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5BD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75B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46FF"/>
    <w:pPr>
      <w:spacing w:before="100" w:beforeAutospacing="1" w:after="100" w:afterAutospacing="1"/>
    </w:pPr>
  </w:style>
  <w:style w:type="paragraph" w:styleId="Revisin">
    <w:name w:val="Revision"/>
    <w:hidden/>
    <w:uiPriority w:val="99"/>
    <w:semiHidden/>
    <w:rsid w:val="00D0167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720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7899C-E2A1-4B33-B974-F71BB21D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798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TÉCNICA</vt:lpstr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TÉCNICA</dc:title>
  <dc:subject/>
  <dc:creator>CCINSHAE</dc:creator>
  <cp:keywords/>
  <cp:lastModifiedBy>LUIS ALBERTO JIMÉNEZ GOMÉZ</cp:lastModifiedBy>
  <cp:revision>11</cp:revision>
  <cp:lastPrinted>2018-10-26T22:12:00Z</cp:lastPrinted>
  <dcterms:created xsi:type="dcterms:W3CDTF">2023-06-21T18:26:00Z</dcterms:created>
  <dcterms:modified xsi:type="dcterms:W3CDTF">2025-08-06T00:41:00Z</dcterms:modified>
</cp:coreProperties>
</file>